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47C7B" w14:textId="77777777" w:rsidR="004F2319" w:rsidRPr="003062F6" w:rsidRDefault="004F2319" w:rsidP="004F2319">
      <w:pPr>
        <w:jc w:val="center"/>
        <w:rPr>
          <w:rStyle w:val="SubtleReference"/>
          <w:rFonts w:asciiTheme="majorHAnsi" w:hAnsiTheme="majorHAnsi" w:cstheme="majorHAnsi"/>
          <w:b/>
          <w:sz w:val="36"/>
          <w:szCs w:val="28"/>
        </w:rPr>
      </w:pPr>
      <w:r w:rsidRPr="003062F6">
        <w:rPr>
          <w:rStyle w:val="SubtleReference"/>
          <w:rFonts w:asciiTheme="majorHAnsi" w:hAnsiTheme="majorHAnsi" w:cstheme="majorHAnsi"/>
          <w:b/>
          <w:sz w:val="36"/>
          <w:szCs w:val="28"/>
        </w:rPr>
        <w:t>NEWS RELEASE</w:t>
      </w:r>
    </w:p>
    <w:p w14:paraId="69584CCE" w14:textId="77777777" w:rsidR="004F2319" w:rsidRPr="003062F6" w:rsidRDefault="004F2319" w:rsidP="004F2319">
      <w:pPr>
        <w:rPr>
          <w:rStyle w:val="SubtleReference"/>
          <w:rFonts w:asciiTheme="majorHAnsi" w:hAnsiTheme="majorHAnsi" w:cstheme="majorHAnsi"/>
          <w:sz w:val="24"/>
        </w:rPr>
      </w:pPr>
    </w:p>
    <w:p w14:paraId="7B8757AB" w14:textId="77777777" w:rsidR="004F2319" w:rsidRPr="003062F6" w:rsidRDefault="004F2319" w:rsidP="004F2319">
      <w:pPr>
        <w:rPr>
          <w:rStyle w:val="SubtleReference"/>
          <w:rFonts w:asciiTheme="majorHAnsi" w:hAnsiTheme="majorHAnsi" w:cstheme="majorHAnsi"/>
          <w:b/>
          <w:sz w:val="28"/>
        </w:rPr>
      </w:pPr>
      <w:r w:rsidRPr="003062F6">
        <w:rPr>
          <w:rStyle w:val="SubtleReference"/>
          <w:rFonts w:asciiTheme="majorHAnsi" w:hAnsiTheme="majorHAnsi" w:cstheme="majorHAnsi"/>
          <w:b/>
          <w:sz w:val="28"/>
        </w:rPr>
        <w:t>For immediate release</w:t>
      </w:r>
    </w:p>
    <w:p w14:paraId="37C94F3D" w14:textId="66FC0399" w:rsidR="00342FCE" w:rsidRPr="003062F6" w:rsidRDefault="00342FCE" w:rsidP="00342FCE">
      <w:pPr>
        <w:pStyle w:val="Heading3"/>
        <w:jc w:val="center"/>
        <w:rPr>
          <w:rFonts w:asciiTheme="majorHAnsi" w:hAnsiTheme="majorHAnsi" w:cstheme="majorHAnsi"/>
          <w:color w:val="000000"/>
          <w:sz w:val="40"/>
          <w:szCs w:val="40"/>
        </w:rPr>
      </w:pPr>
      <w:r w:rsidRPr="003062F6">
        <w:rPr>
          <w:rStyle w:val="Strong"/>
          <w:rFonts w:asciiTheme="majorHAnsi" w:hAnsiTheme="majorHAnsi" w:cstheme="majorHAnsi"/>
          <w:b/>
          <w:bCs/>
          <w:color w:val="000000"/>
          <w:sz w:val="40"/>
          <w:szCs w:val="40"/>
        </w:rPr>
        <w:t>19</w:t>
      </w:r>
      <w:r w:rsidRPr="003062F6">
        <w:rPr>
          <w:rStyle w:val="Strong"/>
          <w:rFonts w:asciiTheme="majorHAnsi" w:hAnsiTheme="majorHAnsi" w:cstheme="majorHAnsi"/>
          <w:b/>
          <w:bCs/>
          <w:color w:val="000000"/>
          <w:sz w:val="40"/>
          <w:szCs w:val="40"/>
          <w:vertAlign w:val="superscript"/>
        </w:rPr>
        <w:t>th</w:t>
      </w:r>
      <w:r w:rsidR="0042782C" w:rsidRPr="003062F6">
        <w:rPr>
          <w:rStyle w:val="Strong"/>
          <w:rFonts w:asciiTheme="majorHAnsi" w:hAnsiTheme="majorHAnsi" w:cstheme="majorHAnsi"/>
          <w:b/>
          <w:bCs/>
          <w:color w:val="000000"/>
          <w:sz w:val="40"/>
          <w:szCs w:val="40"/>
        </w:rPr>
        <w:t xml:space="preserve"> </w:t>
      </w:r>
      <w:r w:rsidRPr="003062F6">
        <w:rPr>
          <w:rStyle w:val="Strong"/>
          <w:rFonts w:asciiTheme="majorHAnsi" w:hAnsiTheme="majorHAnsi" w:cstheme="majorHAnsi"/>
          <w:b/>
          <w:bCs/>
          <w:color w:val="000000"/>
          <w:sz w:val="40"/>
          <w:szCs w:val="40"/>
        </w:rPr>
        <w:t>Annual GPCA Forum Concludes in Bahrain Under the Patronage of His Highness Shaikh Nasser bin Hamad</w:t>
      </w:r>
    </w:p>
    <w:p w14:paraId="40F1AA53" w14:textId="77777777" w:rsidR="00342FCE" w:rsidRPr="003062F6" w:rsidRDefault="00342FCE" w:rsidP="00342FCE">
      <w:pPr>
        <w:pStyle w:val="Heading3"/>
        <w:jc w:val="center"/>
        <w:rPr>
          <w:rFonts w:asciiTheme="majorHAnsi" w:hAnsiTheme="majorHAnsi" w:cstheme="majorHAnsi"/>
          <w:i/>
          <w:iCs/>
          <w:color w:val="000000"/>
          <w:sz w:val="28"/>
          <w:szCs w:val="28"/>
        </w:rPr>
      </w:pPr>
      <w:r w:rsidRPr="003062F6">
        <w:rPr>
          <w:rStyle w:val="Strong"/>
          <w:rFonts w:asciiTheme="majorHAnsi" w:hAnsiTheme="majorHAnsi" w:cstheme="majorHAnsi"/>
          <w:i/>
          <w:iCs/>
          <w:color w:val="000000"/>
          <w:sz w:val="28"/>
          <w:szCs w:val="28"/>
        </w:rPr>
        <w:t>Sustainability, Innovation, and Youth Empowerment Define a Milestone Edition Held During Bahrain National Day Celebrations</w:t>
      </w:r>
    </w:p>
    <w:p w14:paraId="12201C2E" w14:textId="0CFDEC35" w:rsidR="00342FCE" w:rsidRPr="003062F6" w:rsidRDefault="00342FCE" w:rsidP="00342FCE">
      <w:pPr>
        <w:pStyle w:val="NormalWeb"/>
        <w:rPr>
          <w:rFonts w:asciiTheme="majorHAnsi" w:hAnsiTheme="majorHAnsi" w:cstheme="majorHAnsi"/>
          <w:color w:val="000000"/>
        </w:rPr>
      </w:pPr>
      <w:r w:rsidRPr="003062F6">
        <w:rPr>
          <w:rStyle w:val="Strong"/>
          <w:rFonts w:asciiTheme="majorHAnsi" w:hAnsiTheme="majorHAnsi" w:cstheme="majorHAnsi"/>
          <w:color w:val="000000"/>
        </w:rPr>
        <w:t>Manama, Bahrain – 1</w:t>
      </w:r>
      <w:r w:rsidR="00E62A0C">
        <w:rPr>
          <w:rStyle w:val="Strong"/>
          <w:rFonts w:asciiTheme="majorHAnsi" w:hAnsiTheme="majorHAnsi" w:cstheme="majorHAnsi"/>
          <w:color w:val="000000"/>
        </w:rPr>
        <w:t>6</w:t>
      </w:r>
      <w:r w:rsidRPr="003062F6">
        <w:rPr>
          <w:rStyle w:val="Strong"/>
          <w:rFonts w:asciiTheme="majorHAnsi" w:hAnsiTheme="majorHAnsi" w:cstheme="majorHAnsi"/>
          <w:color w:val="000000"/>
        </w:rPr>
        <w:t xml:space="preserve"> December 2025:</w:t>
      </w:r>
      <w:r w:rsidRPr="003062F6">
        <w:rPr>
          <w:rFonts w:asciiTheme="majorHAnsi" w:hAnsiTheme="majorHAnsi" w:cstheme="majorHAnsi"/>
          <w:color w:val="000000"/>
        </w:rPr>
        <w:t xml:space="preserve"> Coinciding with the Kingdom of Bahrain’s National Day celebrations, the Gulf Petrochemicals and Chemicals Association (GPCA) has concluded the 19</w:t>
      </w:r>
      <w:r w:rsidRPr="003062F6">
        <w:rPr>
          <w:rFonts w:asciiTheme="majorHAnsi" w:hAnsiTheme="majorHAnsi" w:cstheme="majorHAnsi"/>
          <w:color w:val="000000"/>
          <w:vertAlign w:val="superscript"/>
        </w:rPr>
        <w:t>th</w:t>
      </w:r>
      <w:r w:rsidR="0042782C" w:rsidRPr="003062F6">
        <w:rPr>
          <w:rFonts w:asciiTheme="majorHAnsi" w:hAnsiTheme="majorHAnsi" w:cstheme="majorHAnsi"/>
          <w:color w:val="000000"/>
        </w:rPr>
        <w:t xml:space="preserve"> </w:t>
      </w:r>
      <w:r w:rsidRPr="003062F6">
        <w:rPr>
          <w:rFonts w:asciiTheme="majorHAnsi" w:hAnsiTheme="majorHAnsi" w:cstheme="majorHAnsi"/>
          <w:color w:val="000000"/>
        </w:rPr>
        <w:t>edition of its Annual Forum, held from 8–11 December 2025 at Exhibition World Bahrain. This landmark edition marked a defining moment in the Forum’s history, as it was convened for the first time under the patronage of</w:t>
      </w:r>
      <w:r w:rsidRPr="003062F6">
        <w:rPr>
          <w:rStyle w:val="apple-converted-space"/>
          <w:rFonts w:asciiTheme="majorHAnsi" w:hAnsiTheme="majorHAnsi" w:cstheme="majorHAnsi"/>
          <w:color w:val="000000"/>
        </w:rPr>
        <w:t> </w:t>
      </w:r>
      <w:r w:rsidRPr="003062F6">
        <w:rPr>
          <w:rStyle w:val="Strong"/>
          <w:rFonts w:asciiTheme="majorHAnsi" w:hAnsiTheme="majorHAnsi" w:cstheme="majorHAnsi"/>
          <w:color w:val="000000"/>
        </w:rPr>
        <w:t>His Highness Shaikh Nasser bin Hamad bin Isa Al Khalifa</w:t>
      </w:r>
      <w:r w:rsidRPr="003062F6">
        <w:rPr>
          <w:rFonts w:asciiTheme="majorHAnsi" w:hAnsiTheme="majorHAnsi" w:cstheme="majorHAnsi"/>
          <w:color w:val="000000"/>
        </w:rPr>
        <w:t xml:space="preserve">, His Majesty’s Representative for Humanitarian Works and Youth Affairs and Chairman of the Board of Directors of </w:t>
      </w:r>
      <w:proofErr w:type="spellStart"/>
      <w:r w:rsidRPr="003062F6">
        <w:rPr>
          <w:rFonts w:asciiTheme="majorHAnsi" w:hAnsiTheme="majorHAnsi" w:cstheme="majorHAnsi"/>
          <w:color w:val="000000"/>
        </w:rPr>
        <w:t>Bapco</w:t>
      </w:r>
      <w:proofErr w:type="spellEnd"/>
      <w:r w:rsidRPr="003062F6">
        <w:rPr>
          <w:rFonts w:asciiTheme="majorHAnsi" w:hAnsiTheme="majorHAnsi" w:cstheme="majorHAnsi"/>
          <w:color w:val="000000"/>
        </w:rPr>
        <w:t xml:space="preserve"> Energies.</w:t>
      </w:r>
    </w:p>
    <w:p w14:paraId="74E5C502" w14:textId="77777777" w:rsidR="00342FCE" w:rsidRPr="003062F6" w:rsidRDefault="00342FCE" w:rsidP="00342FCE">
      <w:pPr>
        <w:pStyle w:val="NormalWeb"/>
        <w:rPr>
          <w:rFonts w:asciiTheme="majorHAnsi" w:hAnsiTheme="majorHAnsi" w:cstheme="majorHAnsi"/>
          <w:color w:val="000000"/>
        </w:rPr>
      </w:pPr>
      <w:r w:rsidRPr="003062F6">
        <w:rPr>
          <w:rFonts w:asciiTheme="majorHAnsi" w:hAnsiTheme="majorHAnsi" w:cstheme="majorHAnsi"/>
          <w:color w:val="000000"/>
        </w:rPr>
        <w:t>Hosted by Gulf Petrochemical Industries Company (GPIC), the Forum brought together regional and global industry leaders, policymakers, and experts to shape the future of the chemical industry through dialogue on sustainability, digital transformation, innovation, and inclusive growth. The timing and setting of this year’s Forum underscored Bahrain’s role as a regional hub for industrial leadership and international collaboration.</w:t>
      </w:r>
    </w:p>
    <w:p w14:paraId="2DC3D5B0" w14:textId="2720ED31" w:rsidR="00342FCE" w:rsidRPr="003062F6" w:rsidRDefault="00342FCE" w:rsidP="00342FCE">
      <w:pPr>
        <w:pStyle w:val="NormalWeb"/>
        <w:rPr>
          <w:rFonts w:asciiTheme="majorHAnsi" w:hAnsiTheme="majorHAnsi" w:cstheme="majorHAnsi"/>
          <w:color w:val="000000"/>
        </w:rPr>
      </w:pPr>
      <w:r w:rsidRPr="003062F6">
        <w:rPr>
          <w:rFonts w:asciiTheme="majorHAnsi" w:hAnsiTheme="majorHAnsi" w:cstheme="majorHAnsi"/>
          <w:color w:val="000000"/>
        </w:rPr>
        <w:t>The Forum highlighted key findings from GPCA’s latest report,</w:t>
      </w:r>
      <w:r w:rsidRPr="003062F6">
        <w:rPr>
          <w:rStyle w:val="apple-converted-space"/>
          <w:rFonts w:asciiTheme="majorHAnsi" w:hAnsiTheme="majorHAnsi" w:cstheme="majorHAnsi"/>
          <w:color w:val="000000"/>
        </w:rPr>
        <w:t> </w:t>
      </w:r>
      <w:r w:rsidRPr="003062F6">
        <w:rPr>
          <w:rStyle w:val="Emphasis"/>
          <w:rFonts w:asciiTheme="majorHAnsi" w:hAnsiTheme="majorHAnsi" w:cstheme="majorHAnsi"/>
          <w:color w:val="000000"/>
        </w:rPr>
        <w:t>“Driving ESG Adoption: Progress and Challenges in the GCC Petrochemical Industry,”</w:t>
      </w:r>
      <w:r w:rsidRPr="003062F6">
        <w:rPr>
          <w:rStyle w:val="apple-converted-space"/>
          <w:rFonts w:asciiTheme="majorHAnsi" w:hAnsiTheme="majorHAnsi" w:cstheme="majorHAnsi"/>
          <w:color w:val="000000"/>
        </w:rPr>
        <w:t> </w:t>
      </w:r>
      <w:r w:rsidRPr="003062F6">
        <w:rPr>
          <w:rFonts w:asciiTheme="majorHAnsi" w:hAnsiTheme="majorHAnsi" w:cstheme="majorHAnsi"/>
          <w:color w:val="000000"/>
        </w:rPr>
        <w:t>which revealed that</w:t>
      </w:r>
      <w:r w:rsidRPr="003062F6">
        <w:rPr>
          <w:rStyle w:val="apple-converted-space"/>
          <w:rFonts w:asciiTheme="majorHAnsi" w:hAnsiTheme="majorHAnsi" w:cstheme="majorHAnsi"/>
          <w:color w:val="000000"/>
        </w:rPr>
        <w:t> </w:t>
      </w:r>
      <w:r w:rsidRPr="003062F6">
        <w:rPr>
          <w:rStyle w:val="Strong"/>
          <w:rFonts w:asciiTheme="majorHAnsi" w:hAnsiTheme="majorHAnsi" w:cstheme="majorHAnsi"/>
          <w:color w:val="000000"/>
        </w:rPr>
        <w:t>79% of GCC petrochemical companies now publish ESG reports and maintain formal ESG committees</w:t>
      </w:r>
      <w:r w:rsidRPr="003062F6">
        <w:rPr>
          <w:rFonts w:asciiTheme="majorHAnsi" w:hAnsiTheme="majorHAnsi" w:cstheme="majorHAnsi"/>
          <w:color w:val="000000"/>
        </w:rPr>
        <w:t xml:space="preserve">, reflecting strong board-level accountability. Adoption of the Global Reporting Initiative (GRI) framework </w:t>
      </w:r>
      <w:r w:rsidR="0042782C" w:rsidRPr="003062F6">
        <w:rPr>
          <w:rFonts w:asciiTheme="majorHAnsi" w:hAnsiTheme="majorHAnsi" w:cstheme="majorHAnsi"/>
          <w:color w:val="000000"/>
        </w:rPr>
        <w:t xml:space="preserve">by GCC chemical companies </w:t>
      </w:r>
      <w:r w:rsidRPr="003062F6">
        <w:rPr>
          <w:rFonts w:asciiTheme="majorHAnsi" w:hAnsiTheme="majorHAnsi" w:cstheme="majorHAnsi"/>
          <w:color w:val="000000"/>
        </w:rPr>
        <w:t>has reached</w:t>
      </w:r>
      <w:r w:rsidRPr="003062F6">
        <w:rPr>
          <w:rStyle w:val="apple-converted-space"/>
          <w:rFonts w:asciiTheme="majorHAnsi" w:hAnsiTheme="majorHAnsi" w:cstheme="majorHAnsi"/>
          <w:color w:val="000000"/>
        </w:rPr>
        <w:t> </w:t>
      </w:r>
      <w:r w:rsidRPr="003062F6">
        <w:rPr>
          <w:rStyle w:val="Strong"/>
          <w:rFonts w:asciiTheme="majorHAnsi" w:hAnsiTheme="majorHAnsi" w:cstheme="majorHAnsi"/>
          <w:color w:val="000000"/>
        </w:rPr>
        <w:t>83%</w:t>
      </w:r>
      <w:r w:rsidRPr="003062F6">
        <w:rPr>
          <w:rFonts w:asciiTheme="majorHAnsi" w:hAnsiTheme="majorHAnsi" w:cstheme="majorHAnsi"/>
          <w:color w:val="000000"/>
        </w:rPr>
        <w:t>, surpassing the global heavy-industry average of 70%, while</w:t>
      </w:r>
      <w:r w:rsidRPr="003062F6">
        <w:rPr>
          <w:rStyle w:val="apple-converted-space"/>
          <w:rFonts w:asciiTheme="majorHAnsi" w:hAnsiTheme="majorHAnsi" w:cstheme="majorHAnsi"/>
          <w:color w:val="000000"/>
        </w:rPr>
        <w:t> </w:t>
      </w:r>
      <w:r w:rsidRPr="003062F6">
        <w:rPr>
          <w:rStyle w:val="Strong"/>
          <w:rFonts w:asciiTheme="majorHAnsi" w:hAnsiTheme="majorHAnsi" w:cstheme="majorHAnsi"/>
          <w:color w:val="000000"/>
        </w:rPr>
        <w:t>88% of companies have implemented responsible supply-chain systems</w:t>
      </w:r>
      <w:r w:rsidRPr="003062F6">
        <w:rPr>
          <w:rFonts w:asciiTheme="majorHAnsi" w:hAnsiTheme="majorHAnsi" w:cstheme="majorHAnsi"/>
          <w:color w:val="000000"/>
        </w:rPr>
        <w:t>, reinforcing ethical and transparent operations.</w:t>
      </w:r>
    </w:p>
    <w:p w14:paraId="4CE9936F" w14:textId="1259C4E1" w:rsidR="00342FCE" w:rsidRPr="003062F6" w:rsidRDefault="00342FCE" w:rsidP="00342FCE">
      <w:pPr>
        <w:pStyle w:val="NormalWeb"/>
        <w:rPr>
          <w:rFonts w:asciiTheme="majorHAnsi" w:hAnsiTheme="majorHAnsi" w:cstheme="majorHAnsi"/>
          <w:color w:val="000000"/>
        </w:rPr>
      </w:pPr>
      <w:r w:rsidRPr="003062F6">
        <w:rPr>
          <w:rFonts w:asciiTheme="majorHAnsi" w:hAnsiTheme="majorHAnsi" w:cstheme="majorHAnsi"/>
          <w:color w:val="000000"/>
        </w:rPr>
        <w:t>Building on last year’s momentum, the</w:t>
      </w:r>
      <w:r w:rsidRPr="003062F6">
        <w:rPr>
          <w:rStyle w:val="apple-converted-space"/>
          <w:rFonts w:asciiTheme="majorHAnsi" w:hAnsiTheme="majorHAnsi" w:cstheme="majorHAnsi"/>
          <w:color w:val="000000"/>
        </w:rPr>
        <w:t> </w:t>
      </w:r>
      <w:r w:rsidRPr="003062F6">
        <w:rPr>
          <w:rStyle w:val="Strong"/>
          <w:rFonts w:asciiTheme="majorHAnsi" w:hAnsiTheme="majorHAnsi" w:cstheme="majorHAnsi"/>
          <w:color w:val="000000"/>
        </w:rPr>
        <w:t>GPCA Sustainability Pavilion</w:t>
      </w:r>
      <w:r w:rsidRPr="003062F6">
        <w:rPr>
          <w:rStyle w:val="apple-converted-space"/>
          <w:rFonts w:asciiTheme="majorHAnsi" w:hAnsiTheme="majorHAnsi" w:cstheme="majorHAnsi"/>
          <w:color w:val="000000"/>
        </w:rPr>
        <w:t> </w:t>
      </w:r>
      <w:r w:rsidRPr="003062F6">
        <w:rPr>
          <w:rFonts w:asciiTheme="majorHAnsi" w:hAnsiTheme="majorHAnsi" w:cstheme="majorHAnsi"/>
          <w:color w:val="000000"/>
        </w:rPr>
        <w:t>returned for its second edition, featuring three dedicated zones</w:t>
      </w:r>
      <w:r w:rsidR="0042782C" w:rsidRPr="003062F6">
        <w:rPr>
          <w:rFonts w:asciiTheme="majorHAnsi" w:hAnsiTheme="majorHAnsi" w:cstheme="majorHAnsi"/>
          <w:color w:val="000000"/>
        </w:rPr>
        <w:t xml:space="preserve"> </w:t>
      </w:r>
      <w:r w:rsidRPr="003062F6">
        <w:rPr>
          <w:rFonts w:asciiTheme="majorHAnsi" w:hAnsiTheme="majorHAnsi" w:cstheme="majorHAnsi"/>
          <w:color w:val="000000"/>
        </w:rPr>
        <w:t>—</w:t>
      </w:r>
      <w:r w:rsidR="0042782C" w:rsidRPr="003062F6">
        <w:rPr>
          <w:rFonts w:asciiTheme="majorHAnsi" w:hAnsiTheme="majorHAnsi" w:cstheme="majorHAnsi"/>
          <w:color w:val="000000"/>
        </w:rPr>
        <w:t xml:space="preserve"> </w:t>
      </w:r>
      <w:r w:rsidRPr="003062F6">
        <w:rPr>
          <w:rFonts w:asciiTheme="majorHAnsi" w:hAnsiTheme="majorHAnsi" w:cstheme="majorHAnsi"/>
          <w:color w:val="000000"/>
        </w:rPr>
        <w:t>Environment, Social, and Governance</w:t>
      </w:r>
      <w:r w:rsidR="0042782C" w:rsidRPr="003062F6">
        <w:rPr>
          <w:rFonts w:asciiTheme="majorHAnsi" w:hAnsiTheme="majorHAnsi" w:cstheme="majorHAnsi"/>
          <w:color w:val="000000"/>
        </w:rPr>
        <w:t xml:space="preserve"> </w:t>
      </w:r>
      <w:r w:rsidRPr="003062F6">
        <w:rPr>
          <w:rFonts w:asciiTheme="majorHAnsi" w:hAnsiTheme="majorHAnsi" w:cstheme="majorHAnsi"/>
          <w:color w:val="000000"/>
        </w:rPr>
        <w:t>—</w:t>
      </w:r>
      <w:r w:rsidR="0042782C" w:rsidRPr="003062F6">
        <w:rPr>
          <w:rFonts w:asciiTheme="majorHAnsi" w:hAnsiTheme="majorHAnsi" w:cstheme="majorHAnsi"/>
          <w:color w:val="000000"/>
        </w:rPr>
        <w:t xml:space="preserve"> </w:t>
      </w:r>
      <w:r w:rsidRPr="003062F6">
        <w:rPr>
          <w:rFonts w:asciiTheme="majorHAnsi" w:hAnsiTheme="majorHAnsi" w:cstheme="majorHAnsi"/>
          <w:color w:val="000000"/>
        </w:rPr>
        <w:t>and introduced a</w:t>
      </w:r>
      <w:r w:rsidRPr="003062F6">
        <w:rPr>
          <w:rStyle w:val="apple-converted-space"/>
          <w:rFonts w:asciiTheme="majorHAnsi" w:hAnsiTheme="majorHAnsi" w:cstheme="majorHAnsi"/>
          <w:color w:val="000000"/>
        </w:rPr>
        <w:t> </w:t>
      </w:r>
      <w:r w:rsidRPr="003062F6">
        <w:rPr>
          <w:rStyle w:val="Strong"/>
          <w:rFonts w:asciiTheme="majorHAnsi" w:hAnsiTheme="majorHAnsi" w:cstheme="majorHAnsi"/>
          <w:color w:val="000000"/>
        </w:rPr>
        <w:t>Carbon Markets Workshop</w:t>
      </w:r>
      <w:r w:rsidRPr="003062F6">
        <w:rPr>
          <w:rStyle w:val="apple-converted-space"/>
          <w:rFonts w:asciiTheme="majorHAnsi" w:hAnsiTheme="majorHAnsi" w:cstheme="majorHAnsi"/>
          <w:color w:val="000000"/>
        </w:rPr>
        <w:t> </w:t>
      </w:r>
      <w:r w:rsidRPr="003062F6">
        <w:rPr>
          <w:rFonts w:asciiTheme="majorHAnsi" w:hAnsiTheme="majorHAnsi" w:cstheme="majorHAnsi"/>
          <w:color w:val="000000"/>
        </w:rPr>
        <w:t>for the first time, reflecting the sector’s growing focus on climate-related financial mechanisms.</w:t>
      </w:r>
    </w:p>
    <w:p w14:paraId="37C9E2A4" w14:textId="26DFFC48" w:rsidR="00342FCE" w:rsidRPr="003062F6" w:rsidRDefault="00342FCE" w:rsidP="00342FCE">
      <w:pPr>
        <w:pStyle w:val="NormalWeb"/>
        <w:rPr>
          <w:rFonts w:asciiTheme="majorHAnsi" w:hAnsiTheme="majorHAnsi" w:cstheme="majorHAnsi"/>
          <w:color w:val="000000"/>
        </w:rPr>
      </w:pPr>
      <w:r w:rsidRPr="003062F6">
        <w:rPr>
          <w:rFonts w:asciiTheme="majorHAnsi" w:hAnsiTheme="majorHAnsi" w:cstheme="majorHAnsi"/>
          <w:color w:val="000000"/>
        </w:rPr>
        <w:lastRenderedPageBreak/>
        <w:t>Investment in human capital remained a central theme throughout the Forum. The</w:t>
      </w:r>
      <w:r w:rsidRPr="003062F6">
        <w:rPr>
          <w:rStyle w:val="apple-converted-space"/>
          <w:rFonts w:asciiTheme="majorHAnsi" w:hAnsiTheme="majorHAnsi" w:cstheme="majorHAnsi"/>
          <w:color w:val="000000"/>
        </w:rPr>
        <w:t> </w:t>
      </w:r>
      <w:r w:rsidRPr="003062F6">
        <w:rPr>
          <w:rStyle w:val="Strong"/>
          <w:rFonts w:asciiTheme="majorHAnsi" w:hAnsiTheme="majorHAnsi" w:cstheme="majorHAnsi"/>
          <w:color w:val="000000"/>
        </w:rPr>
        <w:t>4</w:t>
      </w:r>
      <w:r w:rsidRPr="003062F6">
        <w:rPr>
          <w:rStyle w:val="Strong"/>
          <w:rFonts w:asciiTheme="majorHAnsi" w:hAnsiTheme="majorHAnsi" w:cstheme="majorHAnsi"/>
          <w:color w:val="000000"/>
          <w:vertAlign w:val="superscript"/>
        </w:rPr>
        <w:t>th</w:t>
      </w:r>
      <w:r w:rsidRPr="003062F6">
        <w:rPr>
          <w:rStyle w:val="Strong"/>
          <w:rFonts w:asciiTheme="majorHAnsi" w:hAnsiTheme="majorHAnsi" w:cstheme="majorHAnsi"/>
          <w:color w:val="000000"/>
        </w:rPr>
        <w:t xml:space="preserve"> GPCA Youth Forum</w:t>
      </w:r>
      <w:r w:rsidRPr="003062F6">
        <w:rPr>
          <w:rFonts w:asciiTheme="majorHAnsi" w:hAnsiTheme="majorHAnsi" w:cstheme="majorHAnsi"/>
          <w:color w:val="000000"/>
        </w:rPr>
        <w:t>, led by the GPCA Youth Council, attracted more than</w:t>
      </w:r>
      <w:r w:rsidRPr="003062F6">
        <w:rPr>
          <w:rStyle w:val="apple-converted-space"/>
          <w:rFonts w:asciiTheme="majorHAnsi" w:hAnsiTheme="majorHAnsi" w:cstheme="majorHAnsi"/>
          <w:color w:val="000000"/>
        </w:rPr>
        <w:t> </w:t>
      </w:r>
      <w:r w:rsidRPr="003062F6">
        <w:rPr>
          <w:rStyle w:val="Strong"/>
          <w:rFonts w:asciiTheme="majorHAnsi" w:hAnsiTheme="majorHAnsi" w:cstheme="majorHAnsi"/>
          <w:color w:val="000000"/>
        </w:rPr>
        <w:t>320 young professionals and students</w:t>
      </w:r>
      <w:r w:rsidRPr="003062F6">
        <w:rPr>
          <w:rStyle w:val="apple-converted-space"/>
          <w:rFonts w:asciiTheme="majorHAnsi" w:hAnsiTheme="majorHAnsi" w:cstheme="majorHAnsi"/>
          <w:color w:val="000000"/>
        </w:rPr>
        <w:t> </w:t>
      </w:r>
      <w:r w:rsidRPr="003062F6">
        <w:rPr>
          <w:rFonts w:asciiTheme="majorHAnsi" w:hAnsiTheme="majorHAnsi" w:cstheme="majorHAnsi"/>
          <w:color w:val="000000"/>
        </w:rPr>
        <w:t>from across the Arabian Gulf. Over four days, participants engaged in knowledge exchange, mentorship, and forward-looking discussions on the future of the chemical industry. With</w:t>
      </w:r>
      <w:r w:rsidRPr="003062F6">
        <w:rPr>
          <w:rStyle w:val="apple-converted-space"/>
          <w:rFonts w:asciiTheme="majorHAnsi" w:hAnsiTheme="majorHAnsi" w:cstheme="majorHAnsi"/>
          <w:color w:val="000000"/>
        </w:rPr>
        <w:t> </w:t>
      </w:r>
      <w:r w:rsidRPr="003062F6">
        <w:rPr>
          <w:rStyle w:val="Strong"/>
          <w:rFonts w:asciiTheme="majorHAnsi" w:hAnsiTheme="majorHAnsi" w:cstheme="majorHAnsi"/>
          <w:color w:val="000000"/>
        </w:rPr>
        <w:t>95% of GCC companies involved in community initiatives</w:t>
      </w:r>
      <w:r w:rsidRPr="003062F6">
        <w:rPr>
          <w:rStyle w:val="apple-converted-space"/>
          <w:rFonts w:asciiTheme="majorHAnsi" w:hAnsiTheme="majorHAnsi" w:cstheme="majorHAnsi"/>
          <w:color w:val="000000"/>
        </w:rPr>
        <w:t> </w:t>
      </w:r>
      <w:r w:rsidRPr="003062F6">
        <w:rPr>
          <w:rFonts w:asciiTheme="majorHAnsi" w:hAnsiTheme="majorHAnsi" w:cstheme="majorHAnsi"/>
          <w:color w:val="000000"/>
        </w:rPr>
        <w:t>and near-universal support for STEM programs, the region continues to outperform global averages, where only 63% of chemical companies offer structured youth programs.</w:t>
      </w:r>
    </w:p>
    <w:p w14:paraId="570874D5" w14:textId="6B3805D9" w:rsidR="00342FCE" w:rsidRPr="003062F6" w:rsidRDefault="00342FCE" w:rsidP="00342FCE">
      <w:pPr>
        <w:pStyle w:val="NormalWeb"/>
        <w:rPr>
          <w:rFonts w:asciiTheme="majorHAnsi" w:hAnsiTheme="majorHAnsi" w:cstheme="majorHAnsi"/>
          <w:color w:val="000000"/>
        </w:rPr>
      </w:pPr>
      <w:r w:rsidRPr="003062F6">
        <w:rPr>
          <w:rFonts w:asciiTheme="majorHAnsi" w:hAnsiTheme="majorHAnsi" w:cstheme="majorHAnsi"/>
          <w:color w:val="000000"/>
        </w:rPr>
        <w:t>The Forum also hosted the second edition of the</w:t>
      </w:r>
      <w:r w:rsidRPr="003062F6">
        <w:rPr>
          <w:rStyle w:val="apple-converted-space"/>
          <w:rFonts w:asciiTheme="majorHAnsi" w:hAnsiTheme="majorHAnsi" w:cstheme="majorHAnsi"/>
          <w:color w:val="000000"/>
        </w:rPr>
        <w:t> </w:t>
      </w:r>
      <w:r w:rsidRPr="003062F6">
        <w:rPr>
          <w:rStyle w:val="Strong"/>
          <w:rFonts w:asciiTheme="majorHAnsi" w:hAnsiTheme="majorHAnsi" w:cstheme="majorHAnsi"/>
          <w:color w:val="000000"/>
        </w:rPr>
        <w:t>Women in Chemicals Workshop</w:t>
      </w:r>
      <w:r w:rsidRPr="003062F6">
        <w:rPr>
          <w:rFonts w:asciiTheme="majorHAnsi" w:hAnsiTheme="majorHAnsi" w:cstheme="majorHAnsi"/>
          <w:color w:val="000000"/>
        </w:rPr>
        <w:t>, delivered by</w:t>
      </w:r>
      <w:r w:rsidRPr="003062F6">
        <w:rPr>
          <w:rStyle w:val="apple-converted-space"/>
          <w:rFonts w:asciiTheme="majorHAnsi" w:hAnsiTheme="majorHAnsi" w:cstheme="majorHAnsi"/>
          <w:color w:val="000000"/>
        </w:rPr>
        <w:t> </w:t>
      </w:r>
      <w:r w:rsidRPr="003062F6">
        <w:rPr>
          <w:rStyle w:val="Strong"/>
          <w:rFonts w:asciiTheme="majorHAnsi" w:hAnsiTheme="majorHAnsi" w:cstheme="majorHAnsi"/>
          <w:color w:val="000000"/>
        </w:rPr>
        <w:t>McKinsey &amp; Company in collaboration with GPCA</w:t>
      </w:r>
      <w:r w:rsidRPr="003062F6">
        <w:rPr>
          <w:rStyle w:val="apple-converted-space"/>
          <w:rFonts w:asciiTheme="majorHAnsi" w:hAnsiTheme="majorHAnsi" w:cstheme="majorHAnsi"/>
          <w:color w:val="000000"/>
        </w:rPr>
        <w:t> </w:t>
      </w:r>
      <w:r w:rsidRPr="003062F6">
        <w:rPr>
          <w:rFonts w:asciiTheme="majorHAnsi" w:hAnsiTheme="majorHAnsi" w:cstheme="majorHAnsi"/>
          <w:color w:val="000000"/>
        </w:rPr>
        <w:t xml:space="preserve">on 10 December 2025. The session explored the role of </w:t>
      </w:r>
      <w:r w:rsidR="0042782C" w:rsidRPr="003062F6">
        <w:rPr>
          <w:rFonts w:asciiTheme="majorHAnsi" w:hAnsiTheme="majorHAnsi" w:cstheme="majorHAnsi"/>
          <w:color w:val="000000"/>
        </w:rPr>
        <w:t>AI in organizational management</w:t>
      </w:r>
      <w:r w:rsidRPr="003062F6">
        <w:rPr>
          <w:rFonts w:asciiTheme="majorHAnsi" w:hAnsiTheme="majorHAnsi" w:cstheme="majorHAnsi"/>
          <w:color w:val="000000"/>
        </w:rPr>
        <w:t>.</w:t>
      </w:r>
    </w:p>
    <w:p w14:paraId="7A77059D" w14:textId="79030A2D" w:rsidR="00342FCE" w:rsidRPr="003062F6" w:rsidRDefault="00342FCE" w:rsidP="00342FCE">
      <w:pPr>
        <w:pStyle w:val="NormalWeb"/>
        <w:rPr>
          <w:rFonts w:asciiTheme="majorHAnsi" w:hAnsiTheme="majorHAnsi" w:cstheme="majorHAnsi"/>
          <w:color w:val="000000"/>
        </w:rPr>
      </w:pPr>
      <w:r w:rsidRPr="003062F6">
        <w:rPr>
          <w:rFonts w:asciiTheme="majorHAnsi" w:hAnsiTheme="majorHAnsi" w:cstheme="majorHAnsi"/>
          <w:color w:val="000000"/>
        </w:rPr>
        <w:t>Discussions throughout the Forum reflected the GCC petrochemical sector’s accelerating transition toward a low-carbon economy, driven by clean technologies, circular economy solutions, and renewable energy integration. In this context, the</w:t>
      </w:r>
      <w:r w:rsidRPr="003062F6">
        <w:rPr>
          <w:rStyle w:val="apple-converted-space"/>
          <w:rFonts w:asciiTheme="majorHAnsi" w:hAnsiTheme="majorHAnsi" w:cstheme="majorHAnsi"/>
          <w:color w:val="000000"/>
        </w:rPr>
        <w:t> </w:t>
      </w:r>
      <w:r w:rsidRPr="003062F6">
        <w:rPr>
          <w:rStyle w:val="Strong"/>
          <w:rFonts w:asciiTheme="majorHAnsi" w:hAnsiTheme="majorHAnsi" w:cstheme="majorHAnsi"/>
          <w:color w:val="000000"/>
        </w:rPr>
        <w:t>GPCA Startup Nexus</w:t>
      </w:r>
      <w:r w:rsidRPr="003062F6">
        <w:rPr>
          <w:rFonts w:asciiTheme="majorHAnsi" w:hAnsiTheme="majorHAnsi" w:cstheme="majorHAnsi"/>
          <w:color w:val="000000"/>
        </w:rPr>
        <w:t>, now in its second edition, provided a platform for entrepreneurs to showcase breakthrough solutions in</w:t>
      </w:r>
      <w:r w:rsidRPr="003062F6">
        <w:rPr>
          <w:rStyle w:val="apple-converted-space"/>
          <w:rFonts w:asciiTheme="majorHAnsi" w:hAnsiTheme="majorHAnsi" w:cstheme="majorHAnsi"/>
          <w:color w:val="000000"/>
        </w:rPr>
        <w:t> </w:t>
      </w:r>
      <w:r w:rsidRPr="003062F6">
        <w:rPr>
          <w:rStyle w:val="Strong"/>
          <w:rFonts w:asciiTheme="majorHAnsi" w:hAnsiTheme="majorHAnsi" w:cstheme="majorHAnsi"/>
          <w:color w:val="000000"/>
        </w:rPr>
        <w:t>Circular Economy</w:t>
      </w:r>
      <w:r w:rsidRPr="003062F6">
        <w:rPr>
          <w:rStyle w:val="apple-converted-space"/>
          <w:rFonts w:asciiTheme="majorHAnsi" w:hAnsiTheme="majorHAnsi" w:cstheme="majorHAnsi"/>
          <w:color w:val="000000"/>
        </w:rPr>
        <w:t> </w:t>
      </w:r>
      <w:r w:rsidRPr="003062F6">
        <w:rPr>
          <w:rFonts w:asciiTheme="majorHAnsi" w:hAnsiTheme="majorHAnsi" w:cstheme="majorHAnsi"/>
          <w:color w:val="000000"/>
        </w:rPr>
        <w:t>and</w:t>
      </w:r>
      <w:r w:rsidRPr="003062F6">
        <w:rPr>
          <w:rStyle w:val="apple-converted-space"/>
          <w:rFonts w:asciiTheme="majorHAnsi" w:hAnsiTheme="majorHAnsi" w:cstheme="majorHAnsi"/>
          <w:color w:val="000000"/>
        </w:rPr>
        <w:t> </w:t>
      </w:r>
      <w:r w:rsidRPr="003062F6">
        <w:rPr>
          <w:rStyle w:val="Strong"/>
          <w:rFonts w:asciiTheme="majorHAnsi" w:hAnsiTheme="majorHAnsi" w:cstheme="majorHAnsi"/>
          <w:color w:val="000000"/>
        </w:rPr>
        <w:t>Climate Action</w:t>
      </w:r>
      <w:r w:rsidRPr="003062F6">
        <w:rPr>
          <w:rFonts w:asciiTheme="majorHAnsi" w:hAnsiTheme="majorHAnsi" w:cstheme="majorHAnsi"/>
          <w:color w:val="000000"/>
        </w:rPr>
        <w:t>, while the</w:t>
      </w:r>
      <w:r w:rsidRPr="003062F6">
        <w:rPr>
          <w:rStyle w:val="apple-converted-space"/>
          <w:rFonts w:asciiTheme="majorHAnsi" w:hAnsiTheme="majorHAnsi" w:cstheme="majorHAnsi"/>
          <w:color w:val="000000"/>
        </w:rPr>
        <w:t> </w:t>
      </w:r>
      <w:r w:rsidR="00E151F6">
        <w:rPr>
          <w:rStyle w:val="Strong"/>
          <w:rFonts w:asciiTheme="majorHAnsi" w:hAnsiTheme="majorHAnsi" w:cstheme="majorHAnsi"/>
          <w:color w:val="000000"/>
        </w:rPr>
        <w:t>3</w:t>
      </w:r>
      <w:r w:rsidR="00E151F6">
        <w:rPr>
          <w:rStyle w:val="Strong"/>
          <w:rFonts w:asciiTheme="majorHAnsi" w:hAnsiTheme="majorHAnsi" w:cstheme="majorHAnsi"/>
          <w:color w:val="000000"/>
          <w:vertAlign w:val="superscript"/>
        </w:rPr>
        <w:t>rd</w:t>
      </w:r>
      <w:r w:rsidR="0042782C" w:rsidRPr="003062F6">
        <w:rPr>
          <w:rStyle w:val="Strong"/>
          <w:rFonts w:asciiTheme="majorHAnsi" w:hAnsiTheme="majorHAnsi" w:cstheme="majorHAnsi"/>
          <w:color w:val="000000"/>
        </w:rPr>
        <w:t xml:space="preserve"> </w:t>
      </w:r>
      <w:r w:rsidRPr="003062F6">
        <w:rPr>
          <w:rStyle w:val="Strong"/>
          <w:rFonts w:asciiTheme="majorHAnsi" w:hAnsiTheme="majorHAnsi" w:cstheme="majorHAnsi"/>
          <w:color w:val="000000"/>
        </w:rPr>
        <w:t>GPCA Solutions Xchange</w:t>
      </w:r>
      <w:r w:rsidRPr="003062F6">
        <w:rPr>
          <w:rStyle w:val="apple-converted-space"/>
          <w:rFonts w:asciiTheme="majorHAnsi" w:hAnsiTheme="majorHAnsi" w:cstheme="majorHAnsi"/>
          <w:color w:val="000000"/>
        </w:rPr>
        <w:t> </w:t>
      </w:r>
      <w:r w:rsidRPr="003062F6">
        <w:rPr>
          <w:rFonts w:asciiTheme="majorHAnsi" w:hAnsiTheme="majorHAnsi" w:cstheme="majorHAnsi"/>
          <w:color w:val="000000"/>
        </w:rPr>
        <w:t>served as a hub for strategic partnerships and innovations spanning plastics circularity, carbon management, and digitalization.</w:t>
      </w:r>
    </w:p>
    <w:p w14:paraId="431F4A00" w14:textId="3FAAC723" w:rsidR="00342FCE" w:rsidRPr="003062F6" w:rsidRDefault="00342FCE" w:rsidP="00342FCE">
      <w:pPr>
        <w:pStyle w:val="NormalWeb"/>
        <w:rPr>
          <w:rFonts w:asciiTheme="majorHAnsi" w:hAnsiTheme="majorHAnsi" w:cstheme="majorHAnsi"/>
          <w:color w:val="000000"/>
        </w:rPr>
      </w:pPr>
      <w:r w:rsidRPr="003062F6">
        <w:rPr>
          <w:rFonts w:asciiTheme="majorHAnsi" w:hAnsiTheme="majorHAnsi" w:cstheme="majorHAnsi"/>
          <w:color w:val="000000"/>
        </w:rPr>
        <w:t>Commenting on the Forum,</w:t>
      </w:r>
      <w:r w:rsidRPr="003062F6">
        <w:rPr>
          <w:rStyle w:val="apple-converted-space"/>
          <w:rFonts w:asciiTheme="majorHAnsi" w:hAnsiTheme="majorHAnsi" w:cstheme="majorHAnsi"/>
          <w:color w:val="000000"/>
        </w:rPr>
        <w:t> </w:t>
      </w:r>
      <w:r w:rsidRPr="003062F6">
        <w:rPr>
          <w:rStyle w:val="Strong"/>
          <w:rFonts w:asciiTheme="majorHAnsi" w:hAnsiTheme="majorHAnsi" w:cstheme="majorHAnsi"/>
          <w:color w:val="000000"/>
        </w:rPr>
        <w:t>Dr. Abdulwahab Al-Sadoun</w:t>
      </w:r>
      <w:r w:rsidRPr="003062F6">
        <w:rPr>
          <w:rFonts w:asciiTheme="majorHAnsi" w:hAnsiTheme="majorHAnsi" w:cstheme="majorHAnsi"/>
          <w:color w:val="000000"/>
        </w:rPr>
        <w:t>, Secretary General</w:t>
      </w:r>
      <w:r w:rsidR="0042782C" w:rsidRPr="003062F6">
        <w:rPr>
          <w:rFonts w:asciiTheme="majorHAnsi" w:hAnsiTheme="majorHAnsi" w:cstheme="majorHAnsi"/>
          <w:color w:val="000000"/>
        </w:rPr>
        <w:t xml:space="preserve">, </w:t>
      </w:r>
      <w:r w:rsidRPr="003062F6">
        <w:rPr>
          <w:rFonts w:asciiTheme="majorHAnsi" w:hAnsiTheme="majorHAnsi" w:cstheme="majorHAnsi"/>
          <w:color w:val="000000"/>
        </w:rPr>
        <w:t xml:space="preserve">GPCA, said: </w:t>
      </w:r>
      <w:r w:rsidRPr="003062F6">
        <w:rPr>
          <w:rStyle w:val="Emphasis"/>
          <w:rFonts w:asciiTheme="majorHAnsi" w:hAnsiTheme="majorHAnsi" w:cstheme="majorHAnsi"/>
          <w:color w:val="000000"/>
        </w:rPr>
        <w:t>“The 19</w:t>
      </w:r>
      <w:r w:rsidRPr="003062F6">
        <w:rPr>
          <w:rStyle w:val="Emphasis"/>
          <w:rFonts w:asciiTheme="majorHAnsi" w:hAnsiTheme="majorHAnsi" w:cstheme="majorHAnsi"/>
          <w:color w:val="000000"/>
          <w:vertAlign w:val="superscript"/>
        </w:rPr>
        <w:t>th</w:t>
      </w:r>
      <w:r w:rsidR="0042782C" w:rsidRPr="003062F6">
        <w:rPr>
          <w:rStyle w:val="Emphasis"/>
          <w:rFonts w:asciiTheme="majorHAnsi" w:hAnsiTheme="majorHAnsi" w:cstheme="majorHAnsi"/>
          <w:color w:val="000000"/>
        </w:rPr>
        <w:t xml:space="preserve"> </w:t>
      </w:r>
      <w:r w:rsidRPr="003062F6">
        <w:rPr>
          <w:rStyle w:val="Emphasis"/>
          <w:rFonts w:asciiTheme="majorHAnsi" w:hAnsiTheme="majorHAnsi" w:cstheme="majorHAnsi"/>
          <w:color w:val="000000"/>
        </w:rPr>
        <w:t>Annual GPCA Forum reflects our industry’s unwavering commitment to sustainability, innovation, and inclusive leadership. GCC chemical companies are today surpassing global benchmarks across several ESG indicators, including youth empowerment and ESG reporting. This milestone edition, held in Bahrain under the patronage of His Highness Shaikh Nasser bin Hamad, demonstrates that our region is not only keeping pace with global developments, but actively shaping new standards for competitiveness and responsible growth.”</w:t>
      </w:r>
    </w:p>
    <w:p w14:paraId="2266C67B" w14:textId="15A6589E" w:rsidR="00342FCE" w:rsidRPr="003062F6" w:rsidRDefault="00342FCE" w:rsidP="00342FCE">
      <w:pPr>
        <w:pStyle w:val="NormalWeb"/>
        <w:rPr>
          <w:rFonts w:asciiTheme="majorHAnsi" w:hAnsiTheme="majorHAnsi" w:cstheme="majorHAnsi"/>
          <w:color w:val="000000"/>
        </w:rPr>
      </w:pPr>
      <w:r w:rsidRPr="003062F6">
        <w:rPr>
          <w:rFonts w:asciiTheme="majorHAnsi" w:hAnsiTheme="majorHAnsi" w:cstheme="majorHAnsi"/>
          <w:color w:val="000000"/>
        </w:rPr>
        <w:t>Held under the theme</w:t>
      </w:r>
      <w:r w:rsidRPr="003062F6">
        <w:rPr>
          <w:rStyle w:val="apple-converted-space"/>
          <w:rFonts w:asciiTheme="majorHAnsi" w:hAnsiTheme="majorHAnsi" w:cstheme="majorHAnsi"/>
          <w:color w:val="000000"/>
        </w:rPr>
        <w:t> </w:t>
      </w:r>
      <w:r w:rsidRPr="003062F6">
        <w:rPr>
          <w:rStyle w:val="Strong"/>
          <w:rFonts w:asciiTheme="majorHAnsi" w:hAnsiTheme="majorHAnsi" w:cstheme="majorHAnsi"/>
          <w:color w:val="000000"/>
        </w:rPr>
        <w:t>“Catalyzing Competitiveness through Strategic Partnerships,”</w:t>
      </w:r>
      <w:r w:rsidRPr="003062F6">
        <w:rPr>
          <w:rStyle w:val="apple-converted-space"/>
          <w:rFonts w:asciiTheme="majorHAnsi" w:hAnsiTheme="majorHAnsi" w:cstheme="majorHAnsi"/>
          <w:color w:val="000000"/>
        </w:rPr>
        <w:t> </w:t>
      </w:r>
      <w:r w:rsidRPr="003062F6">
        <w:rPr>
          <w:rFonts w:asciiTheme="majorHAnsi" w:hAnsiTheme="majorHAnsi" w:cstheme="majorHAnsi"/>
          <w:color w:val="000000"/>
        </w:rPr>
        <w:t>the 19</w:t>
      </w:r>
      <w:r w:rsidRPr="003062F6">
        <w:rPr>
          <w:rFonts w:asciiTheme="majorHAnsi" w:hAnsiTheme="majorHAnsi" w:cstheme="majorHAnsi"/>
          <w:color w:val="000000"/>
          <w:vertAlign w:val="superscript"/>
        </w:rPr>
        <w:t>th</w:t>
      </w:r>
      <w:r w:rsidR="00D22D4E" w:rsidRPr="003062F6">
        <w:rPr>
          <w:rFonts w:asciiTheme="majorHAnsi" w:hAnsiTheme="majorHAnsi" w:cstheme="majorHAnsi"/>
          <w:color w:val="000000"/>
        </w:rPr>
        <w:t xml:space="preserve"> </w:t>
      </w:r>
      <w:r w:rsidRPr="003062F6">
        <w:rPr>
          <w:rFonts w:asciiTheme="majorHAnsi" w:hAnsiTheme="majorHAnsi" w:cstheme="majorHAnsi"/>
          <w:color w:val="000000"/>
        </w:rPr>
        <w:t>Annual GPCA Forum concluded with participation from</w:t>
      </w:r>
      <w:r w:rsidRPr="003062F6">
        <w:rPr>
          <w:rStyle w:val="apple-converted-space"/>
          <w:rFonts w:asciiTheme="majorHAnsi" w:hAnsiTheme="majorHAnsi" w:cstheme="majorHAnsi"/>
          <w:color w:val="000000"/>
        </w:rPr>
        <w:t> </w:t>
      </w:r>
      <w:r w:rsidRPr="003062F6">
        <w:rPr>
          <w:rStyle w:val="Strong"/>
          <w:rFonts w:asciiTheme="majorHAnsi" w:hAnsiTheme="majorHAnsi" w:cstheme="majorHAnsi"/>
          <w:color w:val="000000"/>
        </w:rPr>
        <w:t>2,586 delegates representing 450 companies from 42 countries</w:t>
      </w:r>
      <w:r w:rsidRPr="003062F6">
        <w:rPr>
          <w:rFonts w:asciiTheme="majorHAnsi" w:hAnsiTheme="majorHAnsi" w:cstheme="majorHAnsi"/>
          <w:color w:val="000000"/>
        </w:rPr>
        <w:t>, reaffirming its position as a leading global platform for dialogue, collaboration, and strategic alignment across the chemical industry value chain.</w:t>
      </w:r>
    </w:p>
    <w:p w14:paraId="5BD92669" w14:textId="77777777" w:rsidR="00342FCE" w:rsidRPr="003062F6" w:rsidRDefault="00342FCE" w:rsidP="00342FCE">
      <w:pPr>
        <w:pStyle w:val="NormalWeb"/>
        <w:rPr>
          <w:rFonts w:asciiTheme="majorHAnsi" w:hAnsiTheme="majorHAnsi" w:cstheme="majorHAnsi"/>
          <w:color w:val="000000"/>
        </w:rPr>
      </w:pPr>
      <w:r w:rsidRPr="003062F6">
        <w:rPr>
          <w:rStyle w:val="Strong"/>
          <w:rFonts w:asciiTheme="majorHAnsi" w:hAnsiTheme="majorHAnsi" w:cstheme="majorHAnsi"/>
          <w:b w:val="0"/>
          <w:bCs w:val="0"/>
          <w:color w:val="000000"/>
        </w:rPr>
        <w:t>Learn more:</w:t>
      </w:r>
      <w:r w:rsidRPr="003062F6">
        <w:rPr>
          <w:rStyle w:val="apple-converted-space"/>
          <w:rFonts w:asciiTheme="majorHAnsi" w:hAnsiTheme="majorHAnsi" w:cstheme="majorHAnsi"/>
          <w:color w:val="000000"/>
        </w:rPr>
        <w:t> </w:t>
      </w:r>
      <w:hyperlink r:id="rId8" w:tgtFrame="_new" w:history="1">
        <w:r w:rsidRPr="003062F6">
          <w:rPr>
            <w:rStyle w:val="Hyperlink"/>
            <w:rFonts w:asciiTheme="majorHAnsi" w:hAnsiTheme="majorHAnsi" w:cstheme="majorHAnsi"/>
          </w:rPr>
          <w:t>www.gpcaforum.com</w:t>
        </w:r>
      </w:hyperlink>
    </w:p>
    <w:p w14:paraId="34A38028" w14:textId="77777777" w:rsidR="00342FCE" w:rsidRPr="003062F6" w:rsidRDefault="00342FCE" w:rsidP="00342FCE">
      <w:pPr>
        <w:pStyle w:val="NormalWeb"/>
        <w:ind w:firstLine="360"/>
        <w:jc w:val="center"/>
        <w:rPr>
          <w:rFonts w:asciiTheme="majorHAnsi" w:hAnsiTheme="majorHAnsi" w:cstheme="majorHAnsi"/>
          <w:color w:val="000000"/>
        </w:rPr>
      </w:pPr>
      <w:r w:rsidRPr="003062F6">
        <w:rPr>
          <w:rStyle w:val="Strong"/>
          <w:rFonts w:asciiTheme="majorHAnsi" w:hAnsiTheme="majorHAnsi" w:cstheme="majorHAnsi"/>
          <w:color w:val="000000"/>
        </w:rPr>
        <w:t>– Ends –</w:t>
      </w:r>
    </w:p>
    <w:p w14:paraId="64EF4BFB" w14:textId="77777777" w:rsidR="000D0A06" w:rsidRPr="00342FCE" w:rsidRDefault="000D0A06" w:rsidP="000D0A06">
      <w:pPr>
        <w:spacing w:after="0" w:line="240" w:lineRule="auto"/>
        <w:rPr>
          <w:rFonts w:asciiTheme="minorBidi" w:hAnsiTheme="minorBidi"/>
          <w:bCs/>
          <w:szCs w:val="20"/>
        </w:rPr>
      </w:pPr>
    </w:p>
    <w:p w14:paraId="019AC9BA" w14:textId="77777777" w:rsidR="00295D7E" w:rsidRPr="003062F6" w:rsidRDefault="00295D7E" w:rsidP="00CD0446">
      <w:pPr>
        <w:spacing w:after="0" w:line="240" w:lineRule="auto"/>
        <w:rPr>
          <w:rFonts w:asciiTheme="majorHAnsi" w:eastAsia="Calibri" w:hAnsiTheme="majorHAnsi" w:cstheme="majorHAnsi"/>
          <w:b/>
          <w:bCs/>
          <w:color w:val="000000"/>
          <w:szCs w:val="18"/>
          <w:u w:val="single"/>
        </w:rPr>
      </w:pPr>
      <w:r w:rsidRPr="003062F6">
        <w:rPr>
          <w:rFonts w:asciiTheme="majorHAnsi" w:eastAsia="Calibri" w:hAnsiTheme="majorHAnsi" w:cstheme="majorHAnsi"/>
          <w:b/>
          <w:bCs/>
          <w:color w:val="000000"/>
          <w:szCs w:val="18"/>
          <w:u w:val="single"/>
        </w:rPr>
        <w:t>About the Gulf Petrochemicals &amp; Chemicals Association</w:t>
      </w:r>
    </w:p>
    <w:p w14:paraId="7BCAF5C9" w14:textId="77777777" w:rsidR="00736538" w:rsidRPr="003062F6" w:rsidRDefault="00736538" w:rsidP="00CD0446">
      <w:pPr>
        <w:spacing w:after="0" w:line="240" w:lineRule="auto"/>
        <w:jc w:val="both"/>
        <w:rPr>
          <w:rFonts w:asciiTheme="majorHAnsi" w:eastAsia="Calibri" w:hAnsiTheme="majorHAnsi" w:cstheme="majorHAnsi"/>
          <w:color w:val="000000"/>
          <w:szCs w:val="18"/>
        </w:rPr>
      </w:pPr>
    </w:p>
    <w:p w14:paraId="2A399EF1" w14:textId="75DEB4CC" w:rsidR="00CB63CD" w:rsidRPr="003062F6" w:rsidRDefault="00CB63CD" w:rsidP="00CD0446">
      <w:pPr>
        <w:spacing w:after="0" w:line="240" w:lineRule="auto"/>
        <w:jc w:val="both"/>
        <w:rPr>
          <w:rFonts w:asciiTheme="majorHAnsi" w:eastAsia="Calibri" w:hAnsiTheme="majorHAnsi" w:cstheme="majorHAnsi"/>
          <w:color w:val="000000"/>
          <w:szCs w:val="18"/>
        </w:rPr>
      </w:pPr>
      <w:r w:rsidRPr="003062F6">
        <w:rPr>
          <w:rFonts w:asciiTheme="majorHAnsi" w:eastAsia="Calibri" w:hAnsiTheme="majorHAnsi" w:cstheme="majorHAnsi"/>
          <w:color w:val="000000"/>
          <w:szCs w:val="18"/>
        </w:rPr>
        <w:lastRenderedPageBreak/>
        <w:t>The Gulf Petrochemicals and Chemicals Association (GPCA) was established in 2006 to represent the downstream hydrocarbon industry in the Arabian Gulf. Today, the association voices the common interests of more than 2</w:t>
      </w:r>
      <w:r w:rsidR="00B364DC" w:rsidRPr="003062F6">
        <w:rPr>
          <w:rFonts w:asciiTheme="majorHAnsi" w:eastAsia="Calibri" w:hAnsiTheme="majorHAnsi" w:cstheme="majorHAnsi"/>
          <w:color w:val="000000"/>
          <w:szCs w:val="18"/>
        </w:rPr>
        <w:t>5</w:t>
      </w:r>
      <w:r w:rsidRPr="003062F6">
        <w:rPr>
          <w:rFonts w:asciiTheme="majorHAnsi" w:eastAsia="Calibri" w:hAnsiTheme="majorHAnsi" w:cstheme="majorHAnsi"/>
          <w:color w:val="000000"/>
          <w:szCs w:val="18"/>
        </w:rPr>
        <w:t>0 member companies from the chemical and allied industries, accounting for over 95</w:t>
      </w:r>
      <w:r w:rsidR="0008051A" w:rsidRPr="003062F6">
        <w:rPr>
          <w:rFonts w:asciiTheme="majorHAnsi" w:eastAsia="Calibri" w:hAnsiTheme="majorHAnsi" w:cstheme="majorHAnsi"/>
          <w:color w:val="000000"/>
          <w:szCs w:val="18"/>
        </w:rPr>
        <w:t xml:space="preserve"> percent</w:t>
      </w:r>
      <w:r w:rsidRPr="003062F6">
        <w:rPr>
          <w:rFonts w:asciiTheme="majorHAnsi" w:eastAsia="Calibri" w:hAnsiTheme="majorHAnsi" w:cstheme="majorHAnsi"/>
          <w:color w:val="000000"/>
          <w:szCs w:val="18"/>
        </w:rPr>
        <w:t xml:space="preserve"> of chemical output in the GCC. The industry makes up the second largest manufacturing sector in the region, producing over US</w:t>
      </w:r>
      <w:r w:rsidR="00B364DC" w:rsidRPr="003062F6">
        <w:rPr>
          <w:rFonts w:asciiTheme="majorHAnsi" w:eastAsia="Calibri" w:hAnsiTheme="majorHAnsi" w:cstheme="majorHAnsi"/>
          <w:color w:val="000000"/>
          <w:szCs w:val="18"/>
        </w:rPr>
        <w:t xml:space="preserve">D </w:t>
      </w:r>
      <w:r w:rsidRPr="003062F6">
        <w:rPr>
          <w:rFonts w:asciiTheme="majorHAnsi" w:eastAsia="Calibri" w:hAnsiTheme="majorHAnsi" w:cstheme="majorHAnsi"/>
          <w:color w:val="000000"/>
          <w:szCs w:val="18"/>
        </w:rPr>
        <w:t>108 billion worth of products every year.</w:t>
      </w:r>
    </w:p>
    <w:p w14:paraId="31CC1C87" w14:textId="77777777" w:rsidR="00736538" w:rsidRPr="003062F6" w:rsidRDefault="00736538" w:rsidP="00CD0446">
      <w:pPr>
        <w:spacing w:after="0" w:line="240" w:lineRule="auto"/>
        <w:jc w:val="both"/>
        <w:rPr>
          <w:rFonts w:asciiTheme="majorHAnsi" w:eastAsia="Calibri" w:hAnsiTheme="majorHAnsi" w:cstheme="majorHAnsi"/>
          <w:color w:val="000000"/>
          <w:szCs w:val="18"/>
        </w:rPr>
      </w:pPr>
    </w:p>
    <w:p w14:paraId="7F934A21" w14:textId="34440DA4" w:rsidR="00CB63CD" w:rsidRPr="003062F6" w:rsidRDefault="00CB63CD" w:rsidP="00CD0446">
      <w:pPr>
        <w:spacing w:after="0" w:line="240" w:lineRule="auto"/>
        <w:jc w:val="both"/>
        <w:rPr>
          <w:rFonts w:asciiTheme="majorHAnsi" w:eastAsia="Calibri" w:hAnsiTheme="majorHAnsi" w:cstheme="majorHAnsi"/>
          <w:color w:val="000000"/>
          <w:szCs w:val="18"/>
        </w:rPr>
      </w:pPr>
      <w:r w:rsidRPr="003062F6">
        <w:rPr>
          <w:rFonts w:asciiTheme="majorHAnsi" w:eastAsia="Calibri" w:hAnsiTheme="majorHAnsi" w:cstheme="majorHAnsi"/>
          <w:color w:val="000000"/>
          <w:szCs w:val="18"/>
        </w:rPr>
        <w:t xml:space="preserve">GPCA supports the petrochemical and chemical industry in the Arabian Gulf through advocacy, networking and thought leadership initiatives aimed at helping member companies to connect, share and advance knowledge, contribute to international dialogue, and become prime influencers in shaping the future of the global petrochemicals industry. </w:t>
      </w:r>
    </w:p>
    <w:p w14:paraId="4BC8EAA6" w14:textId="77777777" w:rsidR="00736538" w:rsidRPr="003062F6" w:rsidRDefault="00736538" w:rsidP="00CD0446">
      <w:pPr>
        <w:spacing w:after="0" w:line="240" w:lineRule="auto"/>
        <w:jc w:val="both"/>
        <w:rPr>
          <w:rFonts w:asciiTheme="majorHAnsi" w:eastAsia="Calibri" w:hAnsiTheme="majorHAnsi" w:cstheme="majorHAnsi"/>
          <w:color w:val="000000"/>
          <w:szCs w:val="18"/>
        </w:rPr>
      </w:pPr>
    </w:p>
    <w:p w14:paraId="508FE3BD" w14:textId="4AC60B5D" w:rsidR="00CB63CD" w:rsidRPr="003062F6" w:rsidRDefault="00CB63CD" w:rsidP="00CD0446">
      <w:pPr>
        <w:spacing w:after="0" w:line="240" w:lineRule="auto"/>
        <w:jc w:val="both"/>
        <w:rPr>
          <w:rFonts w:asciiTheme="majorHAnsi" w:eastAsia="Calibri" w:hAnsiTheme="majorHAnsi" w:cstheme="majorHAnsi"/>
          <w:color w:val="000000"/>
          <w:szCs w:val="18"/>
        </w:rPr>
      </w:pPr>
      <w:r w:rsidRPr="003062F6">
        <w:rPr>
          <w:rFonts w:asciiTheme="majorHAnsi" w:eastAsia="Calibri" w:hAnsiTheme="majorHAnsi" w:cstheme="majorHAnsi"/>
          <w:color w:val="000000"/>
          <w:szCs w:val="18"/>
        </w:rPr>
        <w:t xml:space="preserve">Committed to providing a regional platform for stakeholders from around the world, GPCA manages six working committees – Plastics, Supply Chain, </w:t>
      </w:r>
      <w:r w:rsidR="004A2270" w:rsidRPr="003062F6">
        <w:rPr>
          <w:rFonts w:asciiTheme="majorHAnsi" w:eastAsia="Calibri" w:hAnsiTheme="majorHAnsi" w:cstheme="majorHAnsi"/>
          <w:color w:val="000000"/>
          <w:szCs w:val="18"/>
        </w:rPr>
        <w:t>Agri-Nutrients (</w:t>
      </w:r>
      <w:r w:rsidRPr="003062F6">
        <w:rPr>
          <w:rFonts w:asciiTheme="majorHAnsi" w:eastAsia="Calibri" w:hAnsiTheme="majorHAnsi" w:cstheme="majorHAnsi"/>
          <w:color w:val="000000"/>
          <w:szCs w:val="18"/>
        </w:rPr>
        <w:t>Fertilizers</w:t>
      </w:r>
      <w:r w:rsidR="004A2270" w:rsidRPr="003062F6">
        <w:rPr>
          <w:rFonts w:asciiTheme="majorHAnsi" w:eastAsia="Calibri" w:hAnsiTheme="majorHAnsi" w:cstheme="majorHAnsi"/>
          <w:color w:val="000000"/>
          <w:szCs w:val="18"/>
        </w:rPr>
        <w:t>)</w:t>
      </w:r>
      <w:r w:rsidRPr="003062F6">
        <w:rPr>
          <w:rFonts w:asciiTheme="majorHAnsi" w:eastAsia="Calibri" w:hAnsiTheme="majorHAnsi" w:cstheme="majorHAnsi"/>
          <w:color w:val="000000"/>
          <w:szCs w:val="18"/>
        </w:rPr>
        <w:t>, International Trade, Research and Innovation, and Responsible Care – and organizes six world-class events each year. The association also publishes an annual report, regular newsletters and various other industry reports.</w:t>
      </w:r>
    </w:p>
    <w:p w14:paraId="44D8044E" w14:textId="77777777" w:rsidR="00736538" w:rsidRPr="003062F6" w:rsidRDefault="00736538" w:rsidP="00CD0446">
      <w:pPr>
        <w:spacing w:after="0" w:line="240" w:lineRule="auto"/>
        <w:rPr>
          <w:rFonts w:asciiTheme="majorHAnsi" w:eastAsia="Calibri" w:hAnsiTheme="majorHAnsi" w:cstheme="majorHAnsi"/>
          <w:color w:val="000000"/>
          <w:szCs w:val="18"/>
        </w:rPr>
      </w:pPr>
    </w:p>
    <w:p w14:paraId="3B20A2C0" w14:textId="0B688C38" w:rsidR="00CB63CD" w:rsidRPr="00E62A0C" w:rsidRDefault="00CB63CD" w:rsidP="00CD0446">
      <w:pPr>
        <w:spacing w:after="0" w:line="240" w:lineRule="auto"/>
        <w:rPr>
          <w:rFonts w:asciiTheme="majorHAnsi" w:eastAsia="Calibri" w:hAnsiTheme="majorHAnsi" w:cstheme="majorHAnsi"/>
          <w:color w:val="000000"/>
          <w:szCs w:val="18"/>
          <w:lang w:val="it-IT"/>
        </w:rPr>
      </w:pPr>
      <w:r w:rsidRPr="00E62A0C">
        <w:rPr>
          <w:rFonts w:asciiTheme="majorHAnsi" w:eastAsia="Calibri" w:hAnsiTheme="majorHAnsi" w:cstheme="majorHAnsi"/>
          <w:color w:val="000000"/>
          <w:szCs w:val="18"/>
          <w:lang w:val="it-IT"/>
        </w:rPr>
        <w:t xml:space="preserve">For more information, </w:t>
      </w:r>
      <w:proofErr w:type="spellStart"/>
      <w:r w:rsidRPr="00E62A0C">
        <w:rPr>
          <w:rFonts w:asciiTheme="majorHAnsi" w:eastAsia="Calibri" w:hAnsiTheme="majorHAnsi" w:cstheme="majorHAnsi"/>
          <w:color w:val="000000"/>
          <w:szCs w:val="18"/>
          <w:lang w:val="it-IT"/>
        </w:rPr>
        <w:t>visit</w:t>
      </w:r>
      <w:proofErr w:type="spellEnd"/>
      <w:r w:rsidRPr="00E62A0C">
        <w:rPr>
          <w:rFonts w:asciiTheme="majorHAnsi" w:eastAsia="Calibri" w:hAnsiTheme="majorHAnsi" w:cstheme="majorHAnsi"/>
          <w:color w:val="000000"/>
          <w:szCs w:val="18"/>
          <w:lang w:val="it-IT"/>
        </w:rPr>
        <w:t xml:space="preserve"> </w:t>
      </w:r>
      <w:hyperlink r:id="rId9" w:history="1">
        <w:r w:rsidRPr="00E62A0C">
          <w:rPr>
            <w:rStyle w:val="Hyperlink"/>
            <w:rFonts w:asciiTheme="majorHAnsi" w:eastAsia="Calibri" w:hAnsiTheme="majorHAnsi" w:cstheme="majorHAnsi"/>
            <w:szCs w:val="18"/>
            <w:lang w:val="it-IT"/>
          </w:rPr>
          <w:t>www.gpca.org.ae</w:t>
        </w:r>
      </w:hyperlink>
      <w:r w:rsidR="00585DDD" w:rsidRPr="00E62A0C">
        <w:rPr>
          <w:rFonts w:asciiTheme="majorHAnsi" w:eastAsia="Calibri" w:hAnsiTheme="majorHAnsi" w:cstheme="majorHAnsi"/>
          <w:color w:val="000000"/>
          <w:szCs w:val="18"/>
          <w:lang w:val="it-IT"/>
        </w:rPr>
        <w:t>.</w:t>
      </w:r>
    </w:p>
    <w:p w14:paraId="1A9606B5" w14:textId="77777777" w:rsidR="00736538" w:rsidRPr="00E62A0C" w:rsidRDefault="00736538" w:rsidP="00CD0446">
      <w:pPr>
        <w:spacing w:after="0" w:line="240" w:lineRule="auto"/>
        <w:rPr>
          <w:rFonts w:asciiTheme="majorHAnsi" w:eastAsia="Calibri" w:hAnsiTheme="majorHAnsi" w:cstheme="majorHAnsi"/>
          <w:color w:val="000000"/>
          <w:szCs w:val="18"/>
          <w:lang w:val="it-IT"/>
        </w:rPr>
      </w:pPr>
    </w:p>
    <w:p w14:paraId="24FCFB4B" w14:textId="2E29F483" w:rsidR="00AF44C0" w:rsidRPr="00E62A0C" w:rsidRDefault="00585DDD" w:rsidP="00CD0446">
      <w:pPr>
        <w:spacing w:after="0" w:line="240" w:lineRule="auto"/>
        <w:rPr>
          <w:rFonts w:asciiTheme="majorHAnsi" w:eastAsia="Calibri" w:hAnsiTheme="majorHAnsi" w:cstheme="majorHAnsi"/>
          <w:color w:val="000000"/>
          <w:szCs w:val="18"/>
          <w:lang w:val="it-IT"/>
        </w:rPr>
      </w:pPr>
      <w:r w:rsidRPr="00E62A0C">
        <w:rPr>
          <w:rFonts w:asciiTheme="majorHAnsi" w:eastAsia="Calibri" w:hAnsiTheme="majorHAnsi" w:cstheme="majorHAnsi"/>
          <w:color w:val="000000"/>
          <w:szCs w:val="18"/>
          <w:lang w:val="it-IT"/>
        </w:rPr>
        <w:t xml:space="preserve">Contact: </w:t>
      </w:r>
      <w:r w:rsidRPr="00E62A0C">
        <w:rPr>
          <w:rFonts w:asciiTheme="majorHAnsi" w:eastAsia="Calibri" w:hAnsiTheme="majorHAnsi" w:cstheme="majorHAnsi"/>
          <w:color w:val="000000"/>
          <w:szCs w:val="18"/>
          <w:lang w:val="it-IT"/>
        </w:rPr>
        <w:br/>
      </w:r>
      <w:r w:rsidR="00AF44C0" w:rsidRPr="00E62A0C">
        <w:rPr>
          <w:rFonts w:asciiTheme="majorHAnsi" w:eastAsia="Calibri" w:hAnsiTheme="majorHAnsi" w:cstheme="majorHAnsi"/>
          <w:color w:val="000000"/>
          <w:szCs w:val="18"/>
          <w:lang w:val="it-IT"/>
        </w:rPr>
        <w:t>Dima Horani</w:t>
      </w:r>
    </w:p>
    <w:p w14:paraId="353EEA90" w14:textId="77777777" w:rsidR="00AF44C0" w:rsidRPr="00E62A0C" w:rsidRDefault="00AF44C0" w:rsidP="00CD0446">
      <w:pPr>
        <w:spacing w:after="0" w:line="240" w:lineRule="auto"/>
        <w:rPr>
          <w:rFonts w:asciiTheme="majorHAnsi" w:eastAsia="Calibri" w:hAnsiTheme="majorHAnsi" w:cstheme="majorHAnsi"/>
          <w:color w:val="000000"/>
          <w:szCs w:val="18"/>
          <w:lang w:val="it-IT"/>
        </w:rPr>
      </w:pPr>
      <w:r w:rsidRPr="00E62A0C">
        <w:rPr>
          <w:rFonts w:asciiTheme="majorHAnsi" w:eastAsia="Calibri" w:hAnsiTheme="majorHAnsi" w:cstheme="majorHAnsi"/>
          <w:color w:val="000000"/>
          <w:szCs w:val="18"/>
          <w:lang w:val="it-IT"/>
        </w:rPr>
        <w:t xml:space="preserve">E: </w:t>
      </w:r>
      <w:hyperlink r:id="rId10" w:history="1">
        <w:r w:rsidRPr="00E62A0C">
          <w:rPr>
            <w:rStyle w:val="Hyperlink"/>
            <w:rFonts w:asciiTheme="majorHAnsi" w:eastAsia="Calibri" w:hAnsiTheme="majorHAnsi" w:cstheme="majorHAnsi"/>
            <w:szCs w:val="18"/>
            <w:lang w:val="it-IT"/>
          </w:rPr>
          <w:t>dima@gpca.org.ae</w:t>
        </w:r>
      </w:hyperlink>
    </w:p>
    <w:p w14:paraId="54769E64" w14:textId="118E6749" w:rsidR="00AF44C0" w:rsidRPr="003062F6" w:rsidRDefault="00AF44C0" w:rsidP="00CD0446">
      <w:pPr>
        <w:spacing w:after="0" w:line="240" w:lineRule="auto"/>
        <w:rPr>
          <w:rFonts w:asciiTheme="majorHAnsi" w:eastAsia="Calibri" w:hAnsiTheme="majorHAnsi" w:cstheme="majorHAnsi"/>
          <w:color w:val="000000"/>
          <w:szCs w:val="18"/>
          <w:lang w:val="pt-PT"/>
        </w:rPr>
      </w:pPr>
      <w:proofErr w:type="spellStart"/>
      <w:r w:rsidRPr="003062F6">
        <w:rPr>
          <w:rFonts w:asciiTheme="majorHAnsi" w:eastAsia="Calibri" w:hAnsiTheme="majorHAnsi" w:cstheme="majorHAnsi"/>
          <w:color w:val="000000"/>
          <w:szCs w:val="18"/>
          <w:lang w:val="pt-PT"/>
        </w:rPr>
        <w:t>Tel</w:t>
      </w:r>
      <w:proofErr w:type="spellEnd"/>
      <w:r w:rsidRPr="003062F6">
        <w:rPr>
          <w:rFonts w:asciiTheme="majorHAnsi" w:eastAsia="Calibri" w:hAnsiTheme="majorHAnsi" w:cstheme="majorHAnsi"/>
          <w:color w:val="000000"/>
          <w:szCs w:val="18"/>
          <w:lang w:val="pt-PT"/>
        </w:rPr>
        <w:t xml:space="preserve">: +971 </w:t>
      </w:r>
      <w:r w:rsidR="004F1E10" w:rsidRPr="003062F6">
        <w:rPr>
          <w:rFonts w:asciiTheme="majorHAnsi" w:eastAsia="Calibri" w:hAnsiTheme="majorHAnsi" w:cstheme="majorHAnsi"/>
          <w:color w:val="000000"/>
          <w:szCs w:val="18"/>
          <w:lang w:val="pt-PT"/>
        </w:rPr>
        <w:t>(</w:t>
      </w:r>
      <w:r w:rsidRPr="003062F6">
        <w:rPr>
          <w:rFonts w:asciiTheme="majorHAnsi" w:eastAsia="Calibri" w:hAnsiTheme="majorHAnsi" w:cstheme="majorHAnsi"/>
          <w:color w:val="000000"/>
          <w:szCs w:val="18"/>
          <w:lang w:val="pt-PT"/>
        </w:rPr>
        <w:t>4</w:t>
      </w:r>
      <w:r w:rsidR="004F1E10" w:rsidRPr="003062F6">
        <w:rPr>
          <w:rFonts w:asciiTheme="majorHAnsi" w:eastAsia="Calibri" w:hAnsiTheme="majorHAnsi" w:cstheme="majorHAnsi"/>
          <w:color w:val="000000"/>
          <w:szCs w:val="18"/>
          <w:lang w:val="pt-PT"/>
        </w:rPr>
        <w:t>)</w:t>
      </w:r>
      <w:r w:rsidRPr="003062F6">
        <w:rPr>
          <w:rFonts w:asciiTheme="majorHAnsi" w:eastAsia="Calibri" w:hAnsiTheme="majorHAnsi" w:cstheme="majorHAnsi"/>
          <w:color w:val="000000"/>
          <w:szCs w:val="18"/>
          <w:lang w:val="pt-PT"/>
        </w:rPr>
        <w:t xml:space="preserve"> 451 0666 </w:t>
      </w:r>
      <w:proofErr w:type="spellStart"/>
      <w:r w:rsidRPr="003062F6">
        <w:rPr>
          <w:rFonts w:asciiTheme="majorHAnsi" w:eastAsia="Calibri" w:hAnsiTheme="majorHAnsi" w:cstheme="majorHAnsi"/>
          <w:color w:val="000000"/>
          <w:szCs w:val="18"/>
          <w:lang w:val="pt-PT"/>
        </w:rPr>
        <w:t>Ext</w:t>
      </w:r>
      <w:proofErr w:type="spellEnd"/>
      <w:r w:rsidR="00E2635A" w:rsidRPr="003062F6">
        <w:rPr>
          <w:rFonts w:asciiTheme="majorHAnsi" w:eastAsia="Calibri" w:hAnsiTheme="majorHAnsi" w:cstheme="majorHAnsi"/>
          <w:color w:val="000000"/>
          <w:szCs w:val="18"/>
          <w:lang w:val="pt-PT"/>
        </w:rPr>
        <w:t>.</w:t>
      </w:r>
      <w:r w:rsidRPr="003062F6">
        <w:rPr>
          <w:rFonts w:asciiTheme="majorHAnsi" w:eastAsia="Calibri" w:hAnsiTheme="majorHAnsi" w:cstheme="majorHAnsi"/>
          <w:color w:val="000000"/>
          <w:szCs w:val="18"/>
          <w:lang w:val="pt-PT"/>
        </w:rPr>
        <w:t xml:space="preserve"> </w:t>
      </w:r>
      <w:r w:rsidR="004B4657" w:rsidRPr="003062F6">
        <w:rPr>
          <w:rFonts w:asciiTheme="majorHAnsi" w:eastAsia="Calibri" w:hAnsiTheme="majorHAnsi" w:cstheme="majorHAnsi"/>
          <w:color w:val="000000"/>
          <w:szCs w:val="18"/>
          <w:lang w:val="pt-PT"/>
        </w:rPr>
        <w:t>333</w:t>
      </w:r>
    </w:p>
    <w:p w14:paraId="553AE818" w14:textId="77777777" w:rsidR="00AF44C0" w:rsidRPr="003062F6" w:rsidRDefault="00AF44C0" w:rsidP="00CD0446">
      <w:pPr>
        <w:spacing w:after="0" w:line="240" w:lineRule="auto"/>
        <w:rPr>
          <w:rFonts w:asciiTheme="majorHAnsi" w:eastAsia="Calibri" w:hAnsiTheme="majorHAnsi" w:cstheme="majorHAnsi"/>
          <w:color w:val="000000"/>
          <w:szCs w:val="18"/>
          <w:lang w:val="pt-PT"/>
        </w:rPr>
      </w:pPr>
    </w:p>
    <w:p w14:paraId="59677615" w14:textId="545C83CD" w:rsidR="00182601" w:rsidRPr="003062F6" w:rsidRDefault="00585DDD" w:rsidP="00CD0446">
      <w:pPr>
        <w:spacing w:after="0" w:line="240" w:lineRule="auto"/>
        <w:rPr>
          <w:rFonts w:asciiTheme="majorHAnsi" w:eastAsia="Calibri" w:hAnsiTheme="majorHAnsi" w:cstheme="majorHAnsi"/>
          <w:color w:val="000000"/>
          <w:szCs w:val="18"/>
          <w:lang w:val="pt-PT"/>
        </w:rPr>
      </w:pPr>
      <w:r w:rsidRPr="003062F6">
        <w:rPr>
          <w:rFonts w:asciiTheme="majorHAnsi" w:eastAsia="Calibri" w:hAnsiTheme="majorHAnsi" w:cstheme="majorHAnsi"/>
          <w:color w:val="000000"/>
          <w:szCs w:val="18"/>
          <w:lang w:val="pt-PT"/>
        </w:rPr>
        <w:t xml:space="preserve">Slavka Atanasova </w:t>
      </w:r>
      <w:r w:rsidRPr="003062F6">
        <w:rPr>
          <w:rFonts w:asciiTheme="majorHAnsi" w:eastAsia="Calibri" w:hAnsiTheme="majorHAnsi" w:cstheme="majorHAnsi"/>
          <w:color w:val="000000"/>
          <w:szCs w:val="18"/>
          <w:lang w:val="pt-PT"/>
        </w:rPr>
        <w:tab/>
      </w:r>
      <w:r w:rsidRPr="003062F6">
        <w:rPr>
          <w:rFonts w:asciiTheme="majorHAnsi" w:eastAsia="Calibri" w:hAnsiTheme="majorHAnsi" w:cstheme="majorHAnsi"/>
          <w:color w:val="000000"/>
          <w:szCs w:val="18"/>
          <w:lang w:val="pt-PT"/>
        </w:rPr>
        <w:tab/>
      </w:r>
      <w:r w:rsidRPr="003062F6">
        <w:rPr>
          <w:rFonts w:asciiTheme="majorHAnsi" w:eastAsia="Calibri" w:hAnsiTheme="majorHAnsi" w:cstheme="majorHAnsi"/>
          <w:color w:val="000000"/>
          <w:szCs w:val="18"/>
          <w:lang w:val="pt-PT"/>
        </w:rPr>
        <w:tab/>
      </w:r>
      <w:r w:rsidRPr="003062F6">
        <w:rPr>
          <w:rFonts w:asciiTheme="majorHAnsi" w:eastAsia="Calibri" w:hAnsiTheme="majorHAnsi" w:cstheme="majorHAnsi"/>
          <w:color w:val="000000"/>
          <w:szCs w:val="18"/>
          <w:lang w:val="pt-PT"/>
        </w:rPr>
        <w:tab/>
      </w:r>
      <w:r w:rsidRPr="003062F6">
        <w:rPr>
          <w:rFonts w:asciiTheme="majorHAnsi" w:eastAsia="Calibri" w:hAnsiTheme="majorHAnsi" w:cstheme="majorHAnsi"/>
          <w:color w:val="000000"/>
          <w:szCs w:val="18"/>
          <w:lang w:val="pt-PT"/>
        </w:rPr>
        <w:tab/>
      </w:r>
      <w:r w:rsidRPr="003062F6">
        <w:rPr>
          <w:rFonts w:asciiTheme="majorHAnsi" w:eastAsia="Calibri" w:hAnsiTheme="majorHAnsi" w:cstheme="majorHAnsi"/>
          <w:color w:val="000000"/>
          <w:szCs w:val="18"/>
          <w:lang w:val="pt-PT"/>
        </w:rPr>
        <w:tab/>
      </w:r>
      <w:r w:rsidRPr="003062F6">
        <w:rPr>
          <w:rFonts w:asciiTheme="majorHAnsi" w:eastAsia="Calibri" w:hAnsiTheme="majorHAnsi" w:cstheme="majorHAnsi"/>
          <w:color w:val="000000"/>
          <w:szCs w:val="18"/>
          <w:lang w:val="pt-PT"/>
        </w:rPr>
        <w:tab/>
      </w:r>
      <w:r w:rsidRPr="003062F6">
        <w:rPr>
          <w:rFonts w:asciiTheme="majorHAnsi" w:eastAsia="Calibri" w:hAnsiTheme="majorHAnsi" w:cstheme="majorHAnsi"/>
          <w:color w:val="000000"/>
          <w:szCs w:val="18"/>
          <w:lang w:val="pt-PT"/>
        </w:rPr>
        <w:tab/>
      </w:r>
      <w:r w:rsidRPr="003062F6">
        <w:rPr>
          <w:rFonts w:asciiTheme="majorHAnsi" w:eastAsia="Calibri" w:hAnsiTheme="majorHAnsi" w:cstheme="majorHAnsi"/>
          <w:color w:val="000000"/>
          <w:szCs w:val="18"/>
          <w:lang w:val="pt-PT"/>
        </w:rPr>
        <w:tab/>
      </w:r>
      <w:r w:rsidRPr="003062F6">
        <w:rPr>
          <w:rFonts w:asciiTheme="majorHAnsi" w:eastAsia="Calibri" w:hAnsiTheme="majorHAnsi" w:cstheme="majorHAnsi"/>
          <w:color w:val="000000"/>
          <w:szCs w:val="18"/>
          <w:lang w:val="pt-PT"/>
        </w:rPr>
        <w:tab/>
      </w:r>
      <w:r w:rsidRPr="003062F6">
        <w:rPr>
          <w:rFonts w:asciiTheme="majorHAnsi" w:eastAsia="Calibri" w:hAnsiTheme="majorHAnsi" w:cstheme="majorHAnsi"/>
          <w:color w:val="000000"/>
          <w:szCs w:val="18"/>
          <w:lang w:val="pt-PT"/>
        </w:rPr>
        <w:tab/>
      </w:r>
      <w:r w:rsidR="00295D7E" w:rsidRPr="003062F6">
        <w:rPr>
          <w:rFonts w:asciiTheme="majorHAnsi" w:eastAsia="Calibri" w:hAnsiTheme="majorHAnsi" w:cstheme="majorHAnsi"/>
          <w:vanish/>
          <w:color w:val="000000"/>
          <w:szCs w:val="18"/>
          <w:lang w:val="pt-PT"/>
        </w:rPr>
        <w:t xml:space="preserve"> begin_of_the_skype_highlighting</w:t>
      </w:r>
      <w:r w:rsidR="00295D7E" w:rsidRPr="003062F6">
        <w:rPr>
          <w:rFonts w:asciiTheme="majorHAnsi" w:eastAsia="Calibri" w:hAnsiTheme="majorHAnsi" w:cstheme="majorHAnsi"/>
          <w:color w:val="000000"/>
          <w:szCs w:val="18"/>
          <w:lang w:val="pt-PT"/>
        </w:rPr>
        <w:br/>
        <w:t xml:space="preserve">E: </w:t>
      </w:r>
      <w:hyperlink r:id="rId11" w:history="1">
        <w:r w:rsidR="00AF44C0" w:rsidRPr="003062F6">
          <w:rPr>
            <w:rStyle w:val="Hyperlink"/>
            <w:rFonts w:asciiTheme="majorHAnsi" w:eastAsia="Calibri" w:hAnsiTheme="majorHAnsi" w:cstheme="majorHAnsi"/>
            <w:szCs w:val="18"/>
            <w:lang w:val="pt-PT"/>
          </w:rPr>
          <w:t>slavka@gpca.org.ae</w:t>
        </w:r>
      </w:hyperlink>
      <w:r w:rsidR="00182601" w:rsidRPr="003062F6">
        <w:rPr>
          <w:rFonts w:asciiTheme="majorHAnsi" w:eastAsia="Calibri" w:hAnsiTheme="majorHAnsi" w:cstheme="majorHAnsi"/>
          <w:color w:val="000000"/>
          <w:szCs w:val="18"/>
          <w:lang w:val="pt-PT"/>
        </w:rPr>
        <w:t xml:space="preserve"> </w:t>
      </w:r>
    </w:p>
    <w:p w14:paraId="4B9691D0" w14:textId="26BF31BB" w:rsidR="00182601" w:rsidRPr="00E62A0C" w:rsidRDefault="00182601" w:rsidP="00CD0446">
      <w:pPr>
        <w:spacing w:after="0" w:line="240" w:lineRule="auto"/>
        <w:rPr>
          <w:rFonts w:asciiTheme="majorHAnsi" w:eastAsia="Calibri" w:hAnsiTheme="majorHAnsi" w:cstheme="majorHAnsi"/>
          <w:color w:val="000000"/>
          <w:szCs w:val="18"/>
          <w:lang w:val="pt-PT"/>
        </w:rPr>
      </w:pPr>
      <w:proofErr w:type="spellStart"/>
      <w:r w:rsidRPr="00E62A0C">
        <w:rPr>
          <w:rFonts w:asciiTheme="majorHAnsi" w:eastAsia="Calibri" w:hAnsiTheme="majorHAnsi" w:cstheme="majorHAnsi"/>
          <w:color w:val="000000"/>
          <w:szCs w:val="18"/>
          <w:lang w:val="pt-PT"/>
        </w:rPr>
        <w:t>Tel</w:t>
      </w:r>
      <w:proofErr w:type="spellEnd"/>
      <w:r w:rsidRPr="00E62A0C">
        <w:rPr>
          <w:rFonts w:asciiTheme="majorHAnsi" w:eastAsia="Calibri" w:hAnsiTheme="majorHAnsi" w:cstheme="majorHAnsi"/>
          <w:color w:val="000000"/>
          <w:szCs w:val="18"/>
          <w:lang w:val="pt-PT"/>
        </w:rPr>
        <w:t>: +44 7561 525126</w:t>
      </w:r>
    </w:p>
    <w:p w14:paraId="3AAC4EF6" w14:textId="6A64AEE1" w:rsidR="00182601" w:rsidRPr="00E62A0C" w:rsidRDefault="00182601" w:rsidP="00CD0446">
      <w:pPr>
        <w:spacing w:after="0" w:line="240" w:lineRule="auto"/>
        <w:rPr>
          <w:rFonts w:asciiTheme="majorHAnsi" w:eastAsia="Calibri" w:hAnsiTheme="majorHAnsi" w:cstheme="majorHAnsi"/>
          <w:color w:val="0000FF"/>
          <w:szCs w:val="18"/>
          <w:u w:val="single"/>
          <w:lang w:val="pt-PT"/>
        </w:rPr>
      </w:pPr>
    </w:p>
    <w:sectPr w:rsidR="00182601" w:rsidRPr="00E62A0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ABA14" w14:textId="77777777" w:rsidR="0095733F" w:rsidRDefault="0095733F" w:rsidP="0002277E">
      <w:pPr>
        <w:spacing w:after="0" w:line="240" w:lineRule="auto"/>
      </w:pPr>
      <w:r>
        <w:separator/>
      </w:r>
    </w:p>
  </w:endnote>
  <w:endnote w:type="continuationSeparator" w:id="0">
    <w:p w14:paraId="7DF2DF99" w14:textId="77777777" w:rsidR="0095733F" w:rsidRDefault="0095733F" w:rsidP="00022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423AA" w14:textId="77777777" w:rsidR="0095733F" w:rsidRDefault="0095733F" w:rsidP="0002277E">
      <w:pPr>
        <w:spacing w:after="0" w:line="240" w:lineRule="auto"/>
      </w:pPr>
      <w:r>
        <w:separator/>
      </w:r>
    </w:p>
  </w:footnote>
  <w:footnote w:type="continuationSeparator" w:id="0">
    <w:p w14:paraId="3B022976" w14:textId="77777777" w:rsidR="0095733F" w:rsidRDefault="0095733F" w:rsidP="00022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AAE7" w14:textId="4DFF9E30" w:rsidR="0002277E" w:rsidRDefault="0002277E" w:rsidP="0002277E">
    <w:pPr>
      <w:pStyle w:val="Header"/>
      <w:jc w:val="right"/>
    </w:pPr>
    <w:r>
      <w:rPr>
        <w:noProof/>
      </w:rPr>
      <w:drawing>
        <wp:inline distT="0" distB="0" distL="0" distR="0" wp14:anchorId="6906F652" wp14:editId="4B24A751">
          <wp:extent cx="1597025" cy="7562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025" cy="7562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290"/>
    <w:multiLevelType w:val="hybridMultilevel"/>
    <w:tmpl w:val="B60C8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E6A87"/>
    <w:multiLevelType w:val="hybridMultilevel"/>
    <w:tmpl w:val="0B341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14713"/>
    <w:multiLevelType w:val="hybridMultilevel"/>
    <w:tmpl w:val="C9322142"/>
    <w:lvl w:ilvl="0" w:tplc="6BF880BE">
      <w:start w:val="1"/>
      <w:numFmt w:val="bullet"/>
      <w:lvlText w:val=""/>
      <w:lvlJc w:val="left"/>
      <w:pPr>
        <w:ind w:left="720" w:hanging="360"/>
      </w:pPr>
      <w:rPr>
        <w:rFonts w:ascii="Symbol" w:hAnsi="Symbol"/>
      </w:rPr>
    </w:lvl>
    <w:lvl w:ilvl="1" w:tplc="A022E8CE">
      <w:start w:val="1"/>
      <w:numFmt w:val="bullet"/>
      <w:lvlText w:val=""/>
      <w:lvlJc w:val="left"/>
      <w:pPr>
        <w:ind w:left="720" w:hanging="360"/>
      </w:pPr>
      <w:rPr>
        <w:rFonts w:ascii="Symbol" w:hAnsi="Symbol"/>
      </w:rPr>
    </w:lvl>
    <w:lvl w:ilvl="2" w:tplc="B06A6C22">
      <w:start w:val="1"/>
      <w:numFmt w:val="bullet"/>
      <w:lvlText w:val=""/>
      <w:lvlJc w:val="left"/>
      <w:pPr>
        <w:ind w:left="720" w:hanging="360"/>
      </w:pPr>
      <w:rPr>
        <w:rFonts w:ascii="Symbol" w:hAnsi="Symbol"/>
      </w:rPr>
    </w:lvl>
    <w:lvl w:ilvl="3" w:tplc="B994ED20">
      <w:start w:val="1"/>
      <w:numFmt w:val="bullet"/>
      <w:lvlText w:val=""/>
      <w:lvlJc w:val="left"/>
      <w:pPr>
        <w:ind w:left="720" w:hanging="360"/>
      </w:pPr>
      <w:rPr>
        <w:rFonts w:ascii="Symbol" w:hAnsi="Symbol"/>
      </w:rPr>
    </w:lvl>
    <w:lvl w:ilvl="4" w:tplc="7214C8A8">
      <w:start w:val="1"/>
      <w:numFmt w:val="bullet"/>
      <w:lvlText w:val=""/>
      <w:lvlJc w:val="left"/>
      <w:pPr>
        <w:ind w:left="720" w:hanging="360"/>
      </w:pPr>
      <w:rPr>
        <w:rFonts w:ascii="Symbol" w:hAnsi="Symbol"/>
      </w:rPr>
    </w:lvl>
    <w:lvl w:ilvl="5" w:tplc="8DF4624C">
      <w:start w:val="1"/>
      <w:numFmt w:val="bullet"/>
      <w:lvlText w:val=""/>
      <w:lvlJc w:val="left"/>
      <w:pPr>
        <w:ind w:left="720" w:hanging="360"/>
      </w:pPr>
      <w:rPr>
        <w:rFonts w:ascii="Symbol" w:hAnsi="Symbol"/>
      </w:rPr>
    </w:lvl>
    <w:lvl w:ilvl="6" w:tplc="6BA64F70">
      <w:start w:val="1"/>
      <w:numFmt w:val="bullet"/>
      <w:lvlText w:val=""/>
      <w:lvlJc w:val="left"/>
      <w:pPr>
        <w:ind w:left="720" w:hanging="360"/>
      </w:pPr>
      <w:rPr>
        <w:rFonts w:ascii="Symbol" w:hAnsi="Symbol"/>
      </w:rPr>
    </w:lvl>
    <w:lvl w:ilvl="7" w:tplc="CB9008FE">
      <w:start w:val="1"/>
      <w:numFmt w:val="bullet"/>
      <w:lvlText w:val=""/>
      <w:lvlJc w:val="left"/>
      <w:pPr>
        <w:ind w:left="720" w:hanging="360"/>
      </w:pPr>
      <w:rPr>
        <w:rFonts w:ascii="Symbol" w:hAnsi="Symbol"/>
      </w:rPr>
    </w:lvl>
    <w:lvl w:ilvl="8" w:tplc="461CEF3A">
      <w:start w:val="1"/>
      <w:numFmt w:val="bullet"/>
      <w:lvlText w:val=""/>
      <w:lvlJc w:val="left"/>
      <w:pPr>
        <w:ind w:left="720" w:hanging="360"/>
      </w:pPr>
      <w:rPr>
        <w:rFonts w:ascii="Symbol" w:hAnsi="Symbol"/>
      </w:rPr>
    </w:lvl>
  </w:abstractNum>
  <w:abstractNum w:abstractNumId="3" w15:restartNumberingAfterBreak="0">
    <w:nsid w:val="06D72174"/>
    <w:multiLevelType w:val="hybridMultilevel"/>
    <w:tmpl w:val="5370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B6D25"/>
    <w:multiLevelType w:val="hybridMultilevel"/>
    <w:tmpl w:val="6E6A3FFC"/>
    <w:lvl w:ilvl="0" w:tplc="229C0D70">
      <w:numFmt w:val="bullet"/>
      <w:lvlText w:val="-"/>
      <w:lvlJc w:val="left"/>
      <w:pPr>
        <w:ind w:left="720" w:hanging="360"/>
      </w:pPr>
      <w:rPr>
        <w:rFonts w:asciiTheme="minorBidi" w:eastAsia="Times New Roman" w:hAnsiTheme="minorBidi" w:cstheme="minorBidi"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A7D57"/>
    <w:multiLevelType w:val="hybridMultilevel"/>
    <w:tmpl w:val="8522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C1780"/>
    <w:multiLevelType w:val="hybridMultilevel"/>
    <w:tmpl w:val="6BB8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A6E71"/>
    <w:multiLevelType w:val="hybridMultilevel"/>
    <w:tmpl w:val="5C6AB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25F9A"/>
    <w:multiLevelType w:val="hybridMultilevel"/>
    <w:tmpl w:val="55E8FB70"/>
    <w:lvl w:ilvl="0" w:tplc="794235FC">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940E6"/>
    <w:multiLevelType w:val="hybridMultilevel"/>
    <w:tmpl w:val="DF0687F2"/>
    <w:lvl w:ilvl="0" w:tplc="E64815B8">
      <w:start w:val="1"/>
      <w:numFmt w:val="bullet"/>
      <w:lvlText w:val=""/>
      <w:lvlJc w:val="left"/>
      <w:pPr>
        <w:ind w:left="720" w:hanging="360"/>
      </w:pPr>
      <w:rPr>
        <w:rFonts w:ascii="Symbol" w:hAnsi="Symbol"/>
      </w:rPr>
    </w:lvl>
    <w:lvl w:ilvl="1" w:tplc="B0D0CD48">
      <w:start w:val="1"/>
      <w:numFmt w:val="bullet"/>
      <w:lvlText w:val=""/>
      <w:lvlJc w:val="left"/>
      <w:pPr>
        <w:ind w:left="720" w:hanging="360"/>
      </w:pPr>
      <w:rPr>
        <w:rFonts w:ascii="Symbol" w:hAnsi="Symbol"/>
      </w:rPr>
    </w:lvl>
    <w:lvl w:ilvl="2" w:tplc="B8D07D7E">
      <w:start w:val="1"/>
      <w:numFmt w:val="bullet"/>
      <w:lvlText w:val=""/>
      <w:lvlJc w:val="left"/>
      <w:pPr>
        <w:ind w:left="720" w:hanging="360"/>
      </w:pPr>
      <w:rPr>
        <w:rFonts w:ascii="Symbol" w:hAnsi="Symbol"/>
      </w:rPr>
    </w:lvl>
    <w:lvl w:ilvl="3" w:tplc="E998F228">
      <w:start w:val="1"/>
      <w:numFmt w:val="bullet"/>
      <w:lvlText w:val=""/>
      <w:lvlJc w:val="left"/>
      <w:pPr>
        <w:ind w:left="720" w:hanging="360"/>
      </w:pPr>
      <w:rPr>
        <w:rFonts w:ascii="Symbol" w:hAnsi="Symbol"/>
      </w:rPr>
    </w:lvl>
    <w:lvl w:ilvl="4" w:tplc="9780B84A">
      <w:start w:val="1"/>
      <w:numFmt w:val="bullet"/>
      <w:lvlText w:val=""/>
      <w:lvlJc w:val="left"/>
      <w:pPr>
        <w:ind w:left="720" w:hanging="360"/>
      </w:pPr>
      <w:rPr>
        <w:rFonts w:ascii="Symbol" w:hAnsi="Symbol"/>
      </w:rPr>
    </w:lvl>
    <w:lvl w:ilvl="5" w:tplc="99F24CDA">
      <w:start w:val="1"/>
      <w:numFmt w:val="bullet"/>
      <w:lvlText w:val=""/>
      <w:lvlJc w:val="left"/>
      <w:pPr>
        <w:ind w:left="720" w:hanging="360"/>
      </w:pPr>
      <w:rPr>
        <w:rFonts w:ascii="Symbol" w:hAnsi="Symbol"/>
      </w:rPr>
    </w:lvl>
    <w:lvl w:ilvl="6" w:tplc="C7C69B12">
      <w:start w:val="1"/>
      <w:numFmt w:val="bullet"/>
      <w:lvlText w:val=""/>
      <w:lvlJc w:val="left"/>
      <w:pPr>
        <w:ind w:left="720" w:hanging="360"/>
      </w:pPr>
      <w:rPr>
        <w:rFonts w:ascii="Symbol" w:hAnsi="Symbol"/>
      </w:rPr>
    </w:lvl>
    <w:lvl w:ilvl="7" w:tplc="B2501392">
      <w:start w:val="1"/>
      <w:numFmt w:val="bullet"/>
      <w:lvlText w:val=""/>
      <w:lvlJc w:val="left"/>
      <w:pPr>
        <w:ind w:left="720" w:hanging="360"/>
      </w:pPr>
      <w:rPr>
        <w:rFonts w:ascii="Symbol" w:hAnsi="Symbol"/>
      </w:rPr>
    </w:lvl>
    <w:lvl w:ilvl="8" w:tplc="45E82B60">
      <w:start w:val="1"/>
      <w:numFmt w:val="bullet"/>
      <w:lvlText w:val=""/>
      <w:lvlJc w:val="left"/>
      <w:pPr>
        <w:ind w:left="720" w:hanging="360"/>
      </w:pPr>
      <w:rPr>
        <w:rFonts w:ascii="Symbol" w:hAnsi="Symbol"/>
      </w:rPr>
    </w:lvl>
  </w:abstractNum>
  <w:abstractNum w:abstractNumId="10" w15:restartNumberingAfterBreak="0">
    <w:nsid w:val="221B12E9"/>
    <w:multiLevelType w:val="hybridMultilevel"/>
    <w:tmpl w:val="59E040C0"/>
    <w:lvl w:ilvl="0" w:tplc="6B7CD01E">
      <w:start w:val="1"/>
      <w:numFmt w:val="bullet"/>
      <w:lvlText w:val=""/>
      <w:lvlJc w:val="left"/>
      <w:pPr>
        <w:ind w:left="1440" w:hanging="360"/>
      </w:pPr>
      <w:rPr>
        <w:rFonts w:ascii="Symbol" w:hAnsi="Symbol"/>
      </w:rPr>
    </w:lvl>
    <w:lvl w:ilvl="1" w:tplc="CA7E01DC">
      <w:start w:val="1"/>
      <w:numFmt w:val="bullet"/>
      <w:lvlText w:val=""/>
      <w:lvlJc w:val="left"/>
      <w:pPr>
        <w:ind w:left="1440" w:hanging="360"/>
      </w:pPr>
      <w:rPr>
        <w:rFonts w:ascii="Symbol" w:hAnsi="Symbol"/>
      </w:rPr>
    </w:lvl>
    <w:lvl w:ilvl="2" w:tplc="B8CE45CE">
      <w:start w:val="1"/>
      <w:numFmt w:val="bullet"/>
      <w:lvlText w:val=""/>
      <w:lvlJc w:val="left"/>
      <w:pPr>
        <w:ind w:left="1440" w:hanging="360"/>
      </w:pPr>
      <w:rPr>
        <w:rFonts w:ascii="Symbol" w:hAnsi="Symbol"/>
      </w:rPr>
    </w:lvl>
    <w:lvl w:ilvl="3" w:tplc="7EA066AC">
      <w:start w:val="1"/>
      <w:numFmt w:val="bullet"/>
      <w:lvlText w:val=""/>
      <w:lvlJc w:val="left"/>
      <w:pPr>
        <w:ind w:left="1440" w:hanging="360"/>
      </w:pPr>
      <w:rPr>
        <w:rFonts w:ascii="Symbol" w:hAnsi="Symbol"/>
      </w:rPr>
    </w:lvl>
    <w:lvl w:ilvl="4" w:tplc="5DC826FE">
      <w:start w:val="1"/>
      <w:numFmt w:val="bullet"/>
      <w:lvlText w:val=""/>
      <w:lvlJc w:val="left"/>
      <w:pPr>
        <w:ind w:left="1440" w:hanging="360"/>
      </w:pPr>
      <w:rPr>
        <w:rFonts w:ascii="Symbol" w:hAnsi="Symbol"/>
      </w:rPr>
    </w:lvl>
    <w:lvl w:ilvl="5" w:tplc="483EF1C2">
      <w:start w:val="1"/>
      <w:numFmt w:val="bullet"/>
      <w:lvlText w:val=""/>
      <w:lvlJc w:val="left"/>
      <w:pPr>
        <w:ind w:left="1440" w:hanging="360"/>
      </w:pPr>
      <w:rPr>
        <w:rFonts w:ascii="Symbol" w:hAnsi="Symbol"/>
      </w:rPr>
    </w:lvl>
    <w:lvl w:ilvl="6" w:tplc="28CC690A">
      <w:start w:val="1"/>
      <w:numFmt w:val="bullet"/>
      <w:lvlText w:val=""/>
      <w:lvlJc w:val="left"/>
      <w:pPr>
        <w:ind w:left="1440" w:hanging="360"/>
      </w:pPr>
      <w:rPr>
        <w:rFonts w:ascii="Symbol" w:hAnsi="Symbol"/>
      </w:rPr>
    </w:lvl>
    <w:lvl w:ilvl="7" w:tplc="0148994A">
      <w:start w:val="1"/>
      <w:numFmt w:val="bullet"/>
      <w:lvlText w:val=""/>
      <w:lvlJc w:val="left"/>
      <w:pPr>
        <w:ind w:left="1440" w:hanging="360"/>
      </w:pPr>
      <w:rPr>
        <w:rFonts w:ascii="Symbol" w:hAnsi="Symbol"/>
      </w:rPr>
    </w:lvl>
    <w:lvl w:ilvl="8" w:tplc="34920B06">
      <w:start w:val="1"/>
      <w:numFmt w:val="bullet"/>
      <w:lvlText w:val=""/>
      <w:lvlJc w:val="left"/>
      <w:pPr>
        <w:ind w:left="1440" w:hanging="360"/>
      </w:pPr>
      <w:rPr>
        <w:rFonts w:ascii="Symbol" w:hAnsi="Symbol"/>
      </w:rPr>
    </w:lvl>
  </w:abstractNum>
  <w:abstractNum w:abstractNumId="11" w15:restartNumberingAfterBreak="0">
    <w:nsid w:val="22A958B8"/>
    <w:multiLevelType w:val="hybridMultilevel"/>
    <w:tmpl w:val="A87AC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34467"/>
    <w:multiLevelType w:val="hybridMultilevel"/>
    <w:tmpl w:val="E91EA80C"/>
    <w:lvl w:ilvl="0" w:tplc="43FEEA1E">
      <w:start w:val="1"/>
      <w:numFmt w:val="bullet"/>
      <w:lvlText w:val=""/>
      <w:lvlJc w:val="left"/>
      <w:pPr>
        <w:ind w:left="1440" w:hanging="360"/>
      </w:pPr>
      <w:rPr>
        <w:rFonts w:ascii="Symbol" w:hAnsi="Symbol"/>
      </w:rPr>
    </w:lvl>
    <w:lvl w:ilvl="1" w:tplc="0FC2D1C2">
      <w:start w:val="1"/>
      <w:numFmt w:val="bullet"/>
      <w:lvlText w:val=""/>
      <w:lvlJc w:val="left"/>
      <w:pPr>
        <w:ind w:left="1440" w:hanging="360"/>
      </w:pPr>
      <w:rPr>
        <w:rFonts w:ascii="Symbol" w:hAnsi="Symbol"/>
      </w:rPr>
    </w:lvl>
    <w:lvl w:ilvl="2" w:tplc="9BB61538">
      <w:start w:val="1"/>
      <w:numFmt w:val="bullet"/>
      <w:lvlText w:val=""/>
      <w:lvlJc w:val="left"/>
      <w:pPr>
        <w:ind w:left="1440" w:hanging="360"/>
      </w:pPr>
      <w:rPr>
        <w:rFonts w:ascii="Symbol" w:hAnsi="Symbol"/>
      </w:rPr>
    </w:lvl>
    <w:lvl w:ilvl="3" w:tplc="591615E0">
      <w:start w:val="1"/>
      <w:numFmt w:val="bullet"/>
      <w:lvlText w:val=""/>
      <w:lvlJc w:val="left"/>
      <w:pPr>
        <w:ind w:left="1440" w:hanging="360"/>
      </w:pPr>
      <w:rPr>
        <w:rFonts w:ascii="Symbol" w:hAnsi="Symbol"/>
      </w:rPr>
    </w:lvl>
    <w:lvl w:ilvl="4" w:tplc="AD761AFE">
      <w:start w:val="1"/>
      <w:numFmt w:val="bullet"/>
      <w:lvlText w:val=""/>
      <w:lvlJc w:val="left"/>
      <w:pPr>
        <w:ind w:left="1440" w:hanging="360"/>
      </w:pPr>
      <w:rPr>
        <w:rFonts w:ascii="Symbol" w:hAnsi="Symbol"/>
      </w:rPr>
    </w:lvl>
    <w:lvl w:ilvl="5" w:tplc="FA148A70">
      <w:start w:val="1"/>
      <w:numFmt w:val="bullet"/>
      <w:lvlText w:val=""/>
      <w:lvlJc w:val="left"/>
      <w:pPr>
        <w:ind w:left="1440" w:hanging="360"/>
      </w:pPr>
      <w:rPr>
        <w:rFonts w:ascii="Symbol" w:hAnsi="Symbol"/>
      </w:rPr>
    </w:lvl>
    <w:lvl w:ilvl="6" w:tplc="5416610E">
      <w:start w:val="1"/>
      <w:numFmt w:val="bullet"/>
      <w:lvlText w:val=""/>
      <w:lvlJc w:val="left"/>
      <w:pPr>
        <w:ind w:left="1440" w:hanging="360"/>
      </w:pPr>
      <w:rPr>
        <w:rFonts w:ascii="Symbol" w:hAnsi="Symbol"/>
      </w:rPr>
    </w:lvl>
    <w:lvl w:ilvl="7" w:tplc="D3A279A6">
      <w:start w:val="1"/>
      <w:numFmt w:val="bullet"/>
      <w:lvlText w:val=""/>
      <w:lvlJc w:val="left"/>
      <w:pPr>
        <w:ind w:left="1440" w:hanging="360"/>
      </w:pPr>
      <w:rPr>
        <w:rFonts w:ascii="Symbol" w:hAnsi="Symbol"/>
      </w:rPr>
    </w:lvl>
    <w:lvl w:ilvl="8" w:tplc="7B3E91C4">
      <w:start w:val="1"/>
      <w:numFmt w:val="bullet"/>
      <w:lvlText w:val=""/>
      <w:lvlJc w:val="left"/>
      <w:pPr>
        <w:ind w:left="1440" w:hanging="360"/>
      </w:pPr>
      <w:rPr>
        <w:rFonts w:ascii="Symbol" w:hAnsi="Symbol"/>
      </w:rPr>
    </w:lvl>
  </w:abstractNum>
  <w:abstractNum w:abstractNumId="13" w15:restartNumberingAfterBreak="0">
    <w:nsid w:val="312B69C3"/>
    <w:multiLevelType w:val="hybridMultilevel"/>
    <w:tmpl w:val="3B5CC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4E7170"/>
    <w:multiLevelType w:val="hybridMultilevel"/>
    <w:tmpl w:val="4F8AC3D2"/>
    <w:lvl w:ilvl="0" w:tplc="7A464318">
      <w:start w:val="8"/>
      <w:numFmt w:val="bullet"/>
      <w:lvlText w:val="-"/>
      <w:lvlJc w:val="left"/>
      <w:pPr>
        <w:ind w:left="720" w:hanging="360"/>
      </w:pPr>
      <w:rPr>
        <w:rFonts w:ascii="Calibri Light" w:eastAsiaTheme="minorHAnsi" w:hAnsi="Calibri Light" w:cs="Calibri Light"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E1EA7"/>
    <w:multiLevelType w:val="hybridMultilevel"/>
    <w:tmpl w:val="3AA2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2A1ABC"/>
    <w:multiLevelType w:val="hybridMultilevel"/>
    <w:tmpl w:val="BF944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B9116B"/>
    <w:multiLevelType w:val="hybridMultilevel"/>
    <w:tmpl w:val="9E12810C"/>
    <w:lvl w:ilvl="0" w:tplc="4C090001">
      <w:start w:val="1"/>
      <w:numFmt w:val="bullet"/>
      <w:lvlText w:val=""/>
      <w:lvlJc w:val="left"/>
      <w:pPr>
        <w:ind w:left="720" w:hanging="360"/>
      </w:pPr>
      <w:rPr>
        <w:rFonts w:ascii="Symbol" w:hAnsi="Symbol"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8" w15:restartNumberingAfterBreak="0">
    <w:nsid w:val="5F3D7ACA"/>
    <w:multiLevelType w:val="hybridMultilevel"/>
    <w:tmpl w:val="9F1ECF54"/>
    <w:lvl w:ilvl="0" w:tplc="84C60CC0">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8F5FCB"/>
    <w:multiLevelType w:val="hybridMultilevel"/>
    <w:tmpl w:val="05FC0CC4"/>
    <w:lvl w:ilvl="0" w:tplc="BD10AA18">
      <w:numFmt w:val="bullet"/>
      <w:lvlText w:val="-"/>
      <w:lvlJc w:val="left"/>
      <w:pPr>
        <w:ind w:left="720" w:hanging="360"/>
      </w:pPr>
      <w:rPr>
        <w:rFonts w:ascii="Calibri" w:eastAsiaTheme="minorHAns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271508"/>
    <w:multiLevelType w:val="hybridMultilevel"/>
    <w:tmpl w:val="13A87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A26D83"/>
    <w:multiLevelType w:val="hybridMultilevel"/>
    <w:tmpl w:val="31F0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522F5C"/>
    <w:multiLevelType w:val="hybridMultilevel"/>
    <w:tmpl w:val="2780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31DFC"/>
    <w:multiLevelType w:val="hybridMultilevel"/>
    <w:tmpl w:val="F7481818"/>
    <w:lvl w:ilvl="0" w:tplc="CF1E3D22">
      <w:start w:val="1"/>
      <w:numFmt w:val="bullet"/>
      <w:lvlText w:val=""/>
      <w:lvlJc w:val="left"/>
      <w:pPr>
        <w:ind w:left="1440" w:hanging="360"/>
      </w:pPr>
      <w:rPr>
        <w:rFonts w:ascii="Symbol" w:hAnsi="Symbol"/>
      </w:rPr>
    </w:lvl>
    <w:lvl w:ilvl="1" w:tplc="914E0562">
      <w:start w:val="1"/>
      <w:numFmt w:val="bullet"/>
      <w:lvlText w:val=""/>
      <w:lvlJc w:val="left"/>
      <w:pPr>
        <w:ind w:left="1440" w:hanging="360"/>
      </w:pPr>
      <w:rPr>
        <w:rFonts w:ascii="Symbol" w:hAnsi="Symbol"/>
      </w:rPr>
    </w:lvl>
    <w:lvl w:ilvl="2" w:tplc="DB9A4D5A">
      <w:start w:val="1"/>
      <w:numFmt w:val="bullet"/>
      <w:lvlText w:val=""/>
      <w:lvlJc w:val="left"/>
      <w:pPr>
        <w:ind w:left="1440" w:hanging="360"/>
      </w:pPr>
      <w:rPr>
        <w:rFonts w:ascii="Symbol" w:hAnsi="Symbol"/>
      </w:rPr>
    </w:lvl>
    <w:lvl w:ilvl="3" w:tplc="DB689D38">
      <w:start w:val="1"/>
      <w:numFmt w:val="bullet"/>
      <w:lvlText w:val=""/>
      <w:lvlJc w:val="left"/>
      <w:pPr>
        <w:ind w:left="1440" w:hanging="360"/>
      </w:pPr>
      <w:rPr>
        <w:rFonts w:ascii="Symbol" w:hAnsi="Symbol"/>
      </w:rPr>
    </w:lvl>
    <w:lvl w:ilvl="4" w:tplc="D5B2B18E">
      <w:start w:val="1"/>
      <w:numFmt w:val="bullet"/>
      <w:lvlText w:val=""/>
      <w:lvlJc w:val="left"/>
      <w:pPr>
        <w:ind w:left="1440" w:hanging="360"/>
      </w:pPr>
      <w:rPr>
        <w:rFonts w:ascii="Symbol" w:hAnsi="Symbol"/>
      </w:rPr>
    </w:lvl>
    <w:lvl w:ilvl="5" w:tplc="1A906506">
      <w:start w:val="1"/>
      <w:numFmt w:val="bullet"/>
      <w:lvlText w:val=""/>
      <w:lvlJc w:val="left"/>
      <w:pPr>
        <w:ind w:left="1440" w:hanging="360"/>
      </w:pPr>
      <w:rPr>
        <w:rFonts w:ascii="Symbol" w:hAnsi="Symbol"/>
      </w:rPr>
    </w:lvl>
    <w:lvl w:ilvl="6" w:tplc="23722EB2">
      <w:start w:val="1"/>
      <w:numFmt w:val="bullet"/>
      <w:lvlText w:val=""/>
      <w:lvlJc w:val="left"/>
      <w:pPr>
        <w:ind w:left="1440" w:hanging="360"/>
      </w:pPr>
      <w:rPr>
        <w:rFonts w:ascii="Symbol" w:hAnsi="Symbol"/>
      </w:rPr>
    </w:lvl>
    <w:lvl w:ilvl="7" w:tplc="B4E40644">
      <w:start w:val="1"/>
      <w:numFmt w:val="bullet"/>
      <w:lvlText w:val=""/>
      <w:lvlJc w:val="left"/>
      <w:pPr>
        <w:ind w:left="1440" w:hanging="360"/>
      </w:pPr>
      <w:rPr>
        <w:rFonts w:ascii="Symbol" w:hAnsi="Symbol"/>
      </w:rPr>
    </w:lvl>
    <w:lvl w:ilvl="8" w:tplc="99666B46">
      <w:start w:val="1"/>
      <w:numFmt w:val="bullet"/>
      <w:lvlText w:val=""/>
      <w:lvlJc w:val="left"/>
      <w:pPr>
        <w:ind w:left="1440" w:hanging="360"/>
      </w:pPr>
      <w:rPr>
        <w:rFonts w:ascii="Symbol" w:hAnsi="Symbol"/>
      </w:rPr>
    </w:lvl>
  </w:abstractNum>
  <w:abstractNum w:abstractNumId="24" w15:restartNumberingAfterBreak="0">
    <w:nsid w:val="75D5426E"/>
    <w:multiLevelType w:val="hybridMultilevel"/>
    <w:tmpl w:val="9230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12ABC"/>
    <w:multiLevelType w:val="hybridMultilevel"/>
    <w:tmpl w:val="7856D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14347">
    <w:abstractNumId w:val="4"/>
  </w:num>
  <w:num w:numId="2" w16cid:durableId="391737219">
    <w:abstractNumId w:val="19"/>
  </w:num>
  <w:num w:numId="3" w16cid:durableId="1261374585">
    <w:abstractNumId w:val="22"/>
  </w:num>
  <w:num w:numId="4" w16cid:durableId="1065378809">
    <w:abstractNumId w:val="5"/>
  </w:num>
  <w:num w:numId="5" w16cid:durableId="1304115713">
    <w:abstractNumId w:val="7"/>
  </w:num>
  <w:num w:numId="6" w16cid:durableId="617374741">
    <w:abstractNumId w:val="25"/>
  </w:num>
  <w:num w:numId="7" w16cid:durableId="1252543499">
    <w:abstractNumId w:val="3"/>
  </w:num>
  <w:num w:numId="8" w16cid:durableId="854266165">
    <w:abstractNumId w:val="6"/>
  </w:num>
  <w:num w:numId="9" w16cid:durableId="1295403286">
    <w:abstractNumId w:val="11"/>
  </w:num>
  <w:num w:numId="10" w16cid:durableId="1625697967">
    <w:abstractNumId w:val="14"/>
  </w:num>
  <w:num w:numId="11" w16cid:durableId="1142575701">
    <w:abstractNumId w:val="20"/>
  </w:num>
  <w:num w:numId="12" w16cid:durableId="208684189">
    <w:abstractNumId w:val="1"/>
  </w:num>
  <w:num w:numId="13" w16cid:durableId="283847019">
    <w:abstractNumId w:val="13"/>
  </w:num>
  <w:num w:numId="14" w16cid:durableId="102772084">
    <w:abstractNumId w:val="17"/>
  </w:num>
  <w:num w:numId="15" w16cid:durableId="365718961">
    <w:abstractNumId w:val="0"/>
  </w:num>
  <w:num w:numId="16" w16cid:durableId="477574609">
    <w:abstractNumId w:val="15"/>
  </w:num>
  <w:num w:numId="17" w16cid:durableId="36467665">
    <w:abstractNumId w:val="21"/>
  </w:num>
  <w:num w:numId="18" w16cid:durableId="504825978">
    <w:abstractNumId w:val="10"/>
  </w:num>
  <w:num w:numId="19" w16cid:durableId="968365490">
    <w:abstractNumId w:val="9"/>
  </w:num>
  <w:num w:numId="20" w16cid:durableId="1542133444">
    <w:abstractNumId w:val="12"/>
  </w:num>
  <w:num w:numId="21" w16cid:durableId="606472841">
    <w:abstractNumId w:val="2"/>
  </w:num>
  <w:num w:numId="22" w16cid:durableId="1884171069">
    <w:abstractNumId w:val="23"/>
  </w:num>
  <w:num w:numId="23" w16cid:durableId="117919893">
    <w:abstractNumId w:val="8"/>
  </w:num>
  <w:num w:numId="24" w16cid:durableId="1170172522">
    <w:abstractNumId w:val="18"/>
  </w:num>
  <w:num w:numId="25" w16cid:durableId="1683699837">
    <w:abstractNumId w:val="16"/>
  </w:num>
  <w:num w:numId="26" w16cid:durableId="815293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95E"/>
    <w:rsid w:val="00006CE9"/>
    <w:rsid w:val="00007A76"/>
    <w:rsid w:val="00012B6A"/>
    <w:rsid w:val="00015CFA"/>
    <w:rsid w:val="000206C4"/>
    <w:rsid w:val="0002277E"/>
    <w:rsid w:val="000303CB"/>
    <w:rsid w:val="000306BE"/>
    <w:rsid w:val="00030CFC"/>
    <w:rsid w:val="000334C1"/>
    <w:rsid w:val="00037514"/>
    <w:rsid w:val="000419D5"/>
    <w:rsid w:val="00057739"/>
    <w:rsid w:val="00061624"/>
    <w:rsid w:val="00063C67"/>
    <w:rsid w:val="00066636"/>
    <w:rsid w:val="0006737B"/>
    <w:rsid w:val="000678BB"/>
    <w:rsid w:val="00071335"/>
    <w:rsid w:val="00073B06"/>
    <w:rsid w:val="000777C2"/>
    <w:rsid w:val="0008051A"/>
    <w:rsid w:val="00081236"/>
    <w:rsid w:val="000816BD"/>
    <w:rsid w:val="000868C2"/>
    <w:rsid w:val="00086EBD"/>
    <w:rsid w:val="0008705C"/>
    <w:rsid w:val="00087740"/>
    <w:rsid w:val="0009117C"/>
    <w:rsid w:val="00093915"/>
    <w:rsid w:val="00094C6F"/>
    <w:rsid w:val="00095F74"/>
    <w:rsid w:val="000A0420"/>
    <w:rsid w:val="000A2EED"/>
    <w:rsid w:val="000A6390"/>
    <w:rsid w:val="000B04BB"/>
    <w:rsid w:val="000B200A"/>
    <w:rsid w:val="000B2F45"/>
    <w:rsid w:val="000B34E5"/>
    <w:rsid w:val="000B7017"/>
    <w:rsid w:val="000C0060"/>
    <w:rsid w:val="000C0C40"/>
    <w:rsid w:val="000C3F2C"/>
    <w:rsid w:val="000C40F9"/>
    <w:rsid w:val="000C4CB5"/>
    <w:rsid w:val="000C5E1F"/>
    <w:rsid w:val="000C74F5"/>
    <w:rsid w:val="000D0A06"/>
    <w:rsid w:val="000D1462"/>
    <w:rsid w:val="000D2AA5"/>
    <w:rsid w:val="000D60A4"/>
    <w:rsid w:val="000D7CA1"/>
    <w:rsid w:val="000E20AB"/>
    <w:rsid w:val="000E4083"/>
    <w:rsid w:val="000E503B"/>
    <w:rsid w:val="000E5EAC"/>
    <w:rsid w:val="000E5F32"/>
    <w:rsid w:val="000E64F5"/>
    <w:rsid w:val="000E79DD"/>
    <w:rsid w:val="000E7A9A"/>
    <w:rsid w:val="000F1EE3"/>
    <w:rsid w:val="000F2BB2"/>
    <w:rsid w:val="000F35E8"/>
    <w:rsid w:val="000F536D"/>
    <w:rsid w:val="00102BF2"/>
    <w:rsid w:val="00103DB3"/>
    <w:rsid w:val="00104FCB"/>
    <w:rsid w:val="00106239"/>
    <w:rsid w:val="00114915"/>
    <w:rsid w:val="00116046"/>
    <w:rsid w:val="00121193"/>
    <w:rsid w:val="001215E1"/>
    <w:rsid w:val="001237C0"/>
    <w:rsid w:val="00124F53"/>
    <w:rsid w:val="0012650D"/>
    <w:rsid w:val="00132FA3"/>
    <w:rsid w:val="001366D9"/>
    <w:rsid w:val="00137187"/>
    <w:rsid w:val="00137827"/>
    <w:rsid w:val="00137B39"/>
    <w:rsid w:val="00140F94"/>
    <w:rsid w:val="00141214"/>
    <w:rsid w:val="001430E4"/>
    <w:rsid w:val="001454F0"/>
    <w:rsid w:val="00151FBD"/>
    <w:rsid w:val="00152219"/>
    <w:rsid w:val="001545F1"/>
    <w:rsid w:val="001551AA"/>
    <w:rsid w:val="00160317"/>
    <w:rsid w:val="00170572"/>
    <w:rsid w:val="001734A4"/>
    <w:rsid w:val="00174A58"/>
    <w:rsid w:val="00175EEC"/>
    <w:rsid w:val="00180C70"/>
    <w:rsid w:val="00181000"/>
    <w:rsid w:val="00182601"/>
    <w:rsid w:val="00186364"/>
    <w:rsid w:val="00186750"/>
    <w:rsid w:val="00192947"/>
    <w:rsid w:val="001A0918"/>
    <w:rsid w:val="001A211C"/>
    <w:rsid w:val="001A27F2"/>
    <w:rsid w:val="001A27F6"/>
    <w:rsid w:val="001A3126"/>
    <w:rsid w:val="001B1A30"/>
    <w:rsid w:val="001B207C"/>
    <w:rsid w:val="001B2152"/>
    <w:rsid w:val="001B3EFB"/>
    <w:rsid w:val="001B4834"/>
    <w:rsid w:val="001B4ABE"/>
    <w:rsid w:val="001B5E1C"/>
    <w:rsid w:val="001B63B9"/>
    <w:rsid w:val="001B7924"/>
    <w:rsid w:val="001C36E5"/>
    <w:rsid w:val="001C470C"/>
    <w:rsid w:val="001C5737"/>
    <w:rsid w:val="001C6325"/>
    <w:rsid w:val="001D17E1"/>
    <w:rsid w:val="001D1A11"/>
    <w:rsid w:val="001D38A2"/>
    <w:rsid w:val="001D698C"/>
    <w:rsid w:val="001E4371"/>
    <w:rsid w:val="001E6F20"/>
    <w:rsid w:val="001E7489"/>
    <w:rsid w:val="001F3E03"/>
    <w:rsid w:val="001F5E20"/>
    <w:rsid w:val="001F6843"/>
    <w:rsid w:val="001F7118"/>
    <w:rsid w:val="00203BC1"/>
    <w:rsid w:val="00205164"/>
    <w:rsid w:val="00207BA5"/>
    <w:rsid w:val="002122E4"/>
    <w:rsid w:val="00213B63"/>
    <w:rsid w:val="00214377"/>
    <w:rsid w:val="002156C7"/>
    <w:rsid w:val="002226A1"/>
    <w:rsid w:val="0022274D"/>
    <w:rsid w:val="002308C4"/>
    <w:rsid w:val="0023219E"/>
    <w:rsid w:val="00232E54"/>
    <w:rsid w:val="00237AE7"/>
    <w:rsid w:val="00243852"/>
    <w:rsid w:val="00245FCD"/>
    <w:rsid w:val="00246892"/>
    <w:rsid w:val="00247A68"/>
    <w:rsid w:val="00251078"/>
    <w:rsid w:val="00253109"/>
    <w:rsid w:val="0025605E"/>
    <w:rsid w:val="00276E8C"/>
    <w:rsid w:val="002813AF"/>
    <w:rsid w:val="002840BB"/>
    <w:rsid w:val="002874ED"/>
    <w:rsid w:val="00290259"/>
    <w:rsid w:val="0029025F"/>
    <w:rsid w:val="00294F2F"/>
    <w:rsid w:val="00295D7E"/>
    <w:rsid w:val="002967BF"/>
    <w:rsid w:val="002A3C2C"/>
    <w:rsid w:val="002B0345"/>
    <w:rsid w:val="002B35CC"/>
    <w:rsid w:val="002B4498"/>
    <w:rsid w:val="002B5313"/>
    <w:rsid w:val="002B57D5"/>
    <w:rsid w:val="002B60F1"/>
    <w:rsid w:val="002B6959"/>
    <w:rsid w:val="002C1395"/>
    <w:rsid w:val="002C1919"/>
    <w:rsid w:val="002D79B7"/>
    <w:rsid w:val="002E10DA"/>
    <w:rsid w:val="002E21D1"/>
    <w:rsid w:val="002E2A15"/>
    <w:rsid w:val="002E3574"/>
    <w:rsid w:val="002E7554"/>
    <w:rsid w:val="002F11FF"/>
    <w:rsid w:val="002F1638"/>
    <w:rsid w:val="002F3E55"/>
    <w:rsid w:val="002F706F"/>
    <w:rsid w:val="00300A4F"/>
    <w:rsid w:val="003019CC"/>
    <w:rsid w:val="00305C9A"/>
    <w:rsid w:val="00305FC8"/>
    <w:rsid w:val="003062F6"/>
    <w:rsid w:val="00310C63"/>
    <w:rsid w:val="00311939"/>
    <w:rsid w:val="00313021"/>
    <w:rsid w:val="0031360D"/>
    <w:rsid w:val="00322DBF"/>
    <w:rsid w:val="00322F7C"/>
    <w:rsid w:val="00324431"/>
    <w:rsid w:val="003246D2"/>
    <w:rsid w:val="00330CE4"/>
    <w:rsid w:val="003317C2"/>
    <w:rsid w:val="003335FD"/>
    <w:rsid w:val="00340BA6"/>
    <w:rsid w:val="003415AC"/>
    <w:rsid w:val="00342FCE"/>
    <w:rsid w:val="00343FB9"/>
    <w:rsid w:val="00345F82"/>
    <w:rsid w:val="00347D5D"/>
    <w:rsid w:val="003507DA"/>
    <w:rsid w:val="00354591"/>
    <w:rsid w:val="00357238"/>
    <w:rsid w:val="003577C9"/>
    <w:rsid w:val="00360603"/>
    <w:rsid w:val="003645EE"/>
    <w:rsid w:val="00370EC6"/>
    <w:rsid w:val="00372E56"/>
    <w:rsid w:val="003731C1"/>
    <w:rsid w:val="00373D71"/>
    <w:rsid w:val="00377075"/>
    <w:rsid w:val="003815B3"/>
    <w:rsid w:val="003855A3"/>
    <w:rsid w:val="00385C1E"/>
    <w:rsid w:val="00386EFA"/>
    <w:rsid w:val="00390188"/>
    <w:rsid w:val="00390ABA"/>
    <w:rsid w:val="00392178"/>
    <w:rsid w:val="00394F5B"/>
    <w:rsid w:val="00397BDA"/>
    <w:rsid w:val="003A0939"/>
    <w:rsid w:val="003A140F"/>
    <w:rsid w:val="003A30F6"/>
    <w:rsid w:val="003A34F7"/>
    <w:rsid w:val="003A5003"/>
    <w:rsid w:val="003A6626"/>
    <w:rsid w:val="003B2099"/>
    <w:rsid w:val="003B638E"/>
    <w:rsid w:val="003B721A"/>
    <w:rsid w:val="003C02D1"/>
    <w:rsid w:val="003C5754"/>
    <w:rsid w:val="003C6738"/>
    <w:rsid w:val="003C7F49"/>
    <w:rsid w:val="003D31EB"/>
    <w:rsid w:val="003D75DC"/>
    <w:rsid w:val="003E101F"/>
    <w:rsid w:val="003E46FC"/>
    <w:rsid w:val="003F35D7"/>
    <w:rsid w:val="003F416E"/>
    <w:rsid w:val="003F5167"/>
    <w:rsid w:val="003F7D2F"/>
    <w:rsid w:val="00401185"/>
    <w:rsid w:val="0040520A"/>
    <w:rsid w:val="00405550"/>
    <w:rsid w:val="00405824"/>
    <w:rsid w:val="00407679"/>
    <w:rsid w:val="00411498"/>
    <w:rsid w:val="004119CC"/>
    <w:rsid w:val="004130BB"/>
    <w:rsid w:val="0041579B"/>
    <w:rsid w:val="004165AE"/>
    <w:rsid w:val="00416F11"/>
    <w:rsid w:val="00425BC2"/>
    <w:rsid w:val="004271C8"/>
    <w:rsid w:val="0042782C"/>
    <w:rsid w:val="00427CD9"/>
    <w:rsid w:val="004321A4"/>
    <w:rsid w:val="00432E4E"/>
    <w:rsid w:val="00433EE7"/>
    <w:rsid w:val="0043707B"/>
    <w:rsid w:val="004429FF"/>
    <w:rsid w:val="004456D1"/>
    <w:rsid w:val="00445F8E"/>
    <w:rsid w:val="0045295E"/>
    <w:rsid w:val="004547B8"/>
    <w:rsid w:val="00456CBA"/>
    <w:rsid w:val="00456DAE"/>
    <w:rsid w:val="00460A85"/>
    <w:rsid w:val="004622E5"/>
    <w:rsid w:val="004658FC"/>
    <w:rsid w:val="00466B8C"/>
    <w:rsid w:val="00467DF8"/>
    <w:rsid w:val="00471CE7"/>
    <w:rsid w:val="00474B17"/>
    <w:rsid w:val="00475581"/>
    <w:rsid w:val="004755E7"/>
    <w:rsid w:val="00476534"/>
    <w:rsid w:val="004779CC"/>
    <w:rsid w:val="004808AF"/>
    <w:rsid w:val="00480CB8"/>
    <w:rsid w:val="00481E4C"/>
    <w:rsid w:val="0048353F"/>
    <w:rsid w:val="00485301"/>
    <w:rsid w:val="00485681"/>
    <w:rsid w:val="00493778"/>
    <w:rsid w:val="00495F84"/>
    <w:rsid w:val="004A007C"/>
    <w:rsid w:val="004A1E1A"/>
    <w:rsid w:val="004A218A"/>
    <w:rsid w:val="004A2270"/>
    <w:rsid w:val="004A5AB3"/>
    <w:rsid w:val="004B315E"/>
    <w:rsid w:val="004B398F"/>
    <w:rsid w:val="004B4657"/>
    <w:rsid w:val="004B5034"/>
    <w:rsid w:val="004B6946"/>
    <w:rsid w:val="004B75C5"/>
    <w:rsid w:val="004C3986"/>
    <w:rsid w:val="004C5987"/>
    <w:rsid w:val="004D0A91"/>
    <w:rsid w:val="004D468D"/>
    <w:rsid w:val="004D4F53"/>
    <w:rsid w:val="004D6DE5"/>
    <w:rsid w:val="004E20C6"/>
    <w:rsid w:val="004E3363"/>
    <w:rsid w:val="004E45E8"/>
    <w:rsid w:val="004E5B38"/>
    <w:rsid w:val="004F0C43"/>
    <w:rsid w:val="004F1E10"/>
    <w:rsid w:val="004F2319"/>
    <w:rsid w:val="004F5B84"/>
    <w:rsid w:val="00511D80"/>
    <w:rsid w:val="005120F4"/>
    <w:rsid w:val="00512809"/>
    <w:rsid w:val="00513466"/>
    <w:rsid w:val="00514ACC"/>
    <w:rsid w:val="005175F1"/>
    <w:rsid w:val="005228DC"/>
    <w:rsid w:val="00523CDA"/>
    <w:rsid w:val="005247D4"/>
    <w:rsid w:val="00527913"/>
    <w:rsid w:val="00530396"/>
    <w:rsid w:val="00532D19"/>
    <w:rsid w:val="005372BA"/>
    <w:rsid w:val="00542C68"/>
    <w:rsid w:val="00565192"/>
    <w:rsid w:val="00566168"/>
    <w:rsid w:val="00567AAB"/>
    <w:rsid w:val="005720EA"/>
    <w:rsid w:val="00577F25"/>
    <w:rsid w:val="005828D0"/>
    <w:rsid w:val="00582EC7"/>
    <w:rsid w:val="00585DDD"/>
    <w:rsid w:val="005866B3"/>
    <w:rsid w:val="005903CA"/>
    <w:rsid w:val="005906E1"/>
    <w:rsid w:val="005912FD"/>
    <w:rsid w:val="00597E7E"/>
    <w:rsid w:val="005A0BF8"/>
    <w:rsid w:val="005A22B0"/>
    <w:rsid w:val="005A4E8D"/>
    <w:rsid w:val="005B10C5"/>
    <w:rsid w:val="005B28A4"/>
    <w:rsid w:val="005B3C65"/>
    <w:rsid w:val="005B5909"/>
    <w:rsid w:val="005C015D"/>
    <w:rsid w:val="005C49C4"/>
    <w:rsid w:val="005D2897"/>
    <w:rsid w:val="005D5A49"/>
    <w:rsid w:val="005E1D33"/>
    <w:rsid w:val="005E204B"/>
    <w:rsid w:val="005E5E35"/>
    <w:rsid w:val="005E79AD"/>
    <w:rsid w:val="005F0EED"/>
    <w:rsid w:val="005F0F0E"/>
    <w:rsid w:val="005F26C7"/>
    <w:rsid w:val="005F3C86"/>
    <w:rsid w:val="005F6B59"/>
    <w:rsid w:val="005F7A70"/>
    <w:rsid w:val="00600FDA"/>
    <w:rsid w:val="0060131C"/>
    <w:rsid w:val="0060162E"/>
    <w:rsid w:val="00602FD3"/>
    <w:rsid w:val="00615BB3"/>
    <w:rsid w:val="0061694E"/>
    <w:rsid w:val="00616F84"/>
    <w:rsid w:val="00621FC4"/>
    <w:rsid w:val="00622341"/>
    <w:rsid w:val="00627DEE"/>
    <w:rsid w:val="006337C8"/>
    <w:rsid w:val="00635075"/>
    <w:rsid w:val="00642811"/>
    <w:rsid w:val="00650252"/>
    <w:rsid w:val="00652AAE"/>
    <w:rsid w:val="00656528"/>
    <w:rsid w:val="006572B7"/>
    <w:rsid w:val="00663047"/>
    <w:rsid w:val="00673A7C"/>
    <w:rsid w:val="00675FCE"/>
    <w:rsid w:val="006825D5"/>
    <w:rsid w:val="00685893"/>
    <w:rsid w:val="006867E8"/>
    <w:rsid w:val="00691F59"/>
    <w:rsid w:val="0069406E"/>
    <w:rsid w:val="006A01DB"/>
    <w:rsid w:val="006A2CC6"/>
    <w:rsid w:val="006A4409"/>
    <w:rsid w:val="006A45ED"/>
    <w:rsid w:val="006A6B60"/>
    <w:rsid w:val="006B4559"/>
    <w:rsid w:val="006B577D"/>
    <w:rsid w:val="006B6E89"/>
    <w:rsid w:val="006C3045"/>
    <w:rsid w:val="006C42DA"/>
    <w:rsid w:val="006C43F9"/>
    <w:rsid w:val="006C6020"/>
    <w:rsid w:val="006C7D06"/>
    <w:rsid w:val="006D008C"/>
    <w:rsid w:val="006D0FC1"/>
    <w:rsid w:val="006D34CB"/>
    <w:rsid w:val="006D4339"/>
    <w:rsid w:val="006D64AF"/>
    <w:rsid w:val="006D65BC"/>
    <w:rsid w:val="006E5F26"/>
    <w:rsid w:val="006F561B"/>
    <w:rsid w:val="006F69F2"/>
    <w:rsid w:val="006F6B94"/>
    <w:rsid w:val="0070195E"/>
    <w:rsid w:val="00702A9D"/>
    <w:rsid w:val="00702AF0"/>
    <w:rsid w:val="00702EBF"/>
    <w:rsid w:val="0070529E"/>
    <w:rsid w:val="00705AE8"/>
    <w:rsid w:val="00711E55"/>
    <w:rsid w:val="00714503"/>
    <w:rsid w:val="007154B4"/>
    <w:rsid w:val="00717CDB"/>
    <w:rsid w:val="00723D65"/>
    <w:rsid w:val="00723E81"/>
    <w:rsid w:val="00730040"/>
    <w:rsid w:val="00734E37"/>
    <w:rsid w:val="00736538"/>
    <w:rsid w:val="0073722C"/>
    <w:rsid w:val="00743929"/>
    <w:rsid w:val="00743B29"/>
    <w:rsid w:val="00743D6F"/>
    <w:rsid w:val="007474D3"/>
    <w:rsid w:val="0074785D"/>
    <w:rsid w:val="0075432A"/>
    <w:rsid w:val="00756531"/>
    <w:rsid w:val="007570B5"/>
    <w:rsid w:val="00757855"/>
    <w:rsid w:val="00760366"/>
    <w:rsid w:val="0076370B"/>
    <w:rsid w:val="007637C0"/>
    <w:rsid w:val="007645EC"/>
    <w:rsid w:val="00771FF1"/>
    <w:rsid w:val="007770F8"/>
    <w:rsid w:val="0078112B"/>
    <w:rsid w:val="00785B24"/>
    <w:rsid w:val="00791B79"/>
    <w:rsid w:val="007928C3"/>
    <w:rsid w:val="007945B9"/>
    <w:rsid w:val="0079591C"/>
    <w:rsid w:val="00797A6E"/>
    <w:rsid w:val="007A0688"/>
    <w:rsid w:val="007A2EE8"/>
    <w:rsid w:val="007A583D"/>
    <w:rsid w:val="007B343A"/>
    <w:rsid w:val="007B4B69"/>
    <w:rsid w:val="007B6435"/>
    <w:rsid w:val="007B763B"/>
    <w:rsid w:val="007C348D"/>
    <w:rsid w:val="007C3BCA"/>
    <w:rsid w:val="007C7BB2"/>
    <w:rsid w:val="007C7F98"/>
    <w:rsid w:val="007D085C"/>
    <w:rsid w:val="007D5363"/>
    <w:rsid w:val="007D557A"/>
    <w:rsid w:val="007E0A62"/>
    <w:rsid w:val="007E1026"/>
    <w:rsid w:val="007E4636"/>
    <w:rsid w:val="007E49E9"/>
    <w:rsid w:val="007E6BF4"/>
    <w:rsid w:val="007F1256"/>
    <w:rsid w:val="007F361E"/>
    <w:rsid w:val="007F608A"/>
    <w:rsid w:val="007F6918"/>
    <w:rsid w:val="00803F45"/>
    <w:rsid w:val="0080695F"/>
    <w:rsid w:val="00807F41"/>
    <w:rsid w:val="008115B4"/>
    <w:rsid w:val="00811D4F"/>
    <w:rsid w:val="00814DF4"/>
    <w:rsid w:val="008204AF"/>
    <w:rsid w:val="00820987"/>
    <w:rsid w:val="0082255E"/>
    <w:rsid w:val="008248FB"/>
    <w:rsid w:val="00830394"/>
    <w:rsid w:val="008318B9"/>
    <w:rsid w:val="00832555"/>
    <w:rsid w:val="00835E75"/>
    <w:rsid w:val="008379F2"/>
    <w:rsid w:val="00837D4E"/>
    <w:rsid w:val="00843FFD"/>
    <w:rsid w:val="0084778F"/>
    <w:rsid w:val="00855251"/>
    <w:rsid w:val="00857049"/>
    <w:rsid w:val="0086454F"/>
    <w:rsid w:val="00864FB4"/>
    <w:rsid w:val="00865F5A"/>
    <w:rsid w:val="00866D88"/>
    <w:rsid w:val="00877490"/>
    <w:rsid w:val="00877932"/>
    <w:rsid w:val="00880473"/>
    <w:rsid w:val="008826BE"/>
    <w:rsid w:val="00884D7E"/>
    <w:rsid w:val="008918F3"/>
    <w:rsid w:val="00893647"/>
    <w:rsid w:val="008966DC"/>
    <w:rsid w:val="0089740E"/>
    <w:rsid w:val="008A0130"/>
    <w:rsid w:val="008A5327"/>
    <w:rsid w:val="008A7F56"/>
    <w:rsid w:val="008B1BB5"/>
    <w:rsid w:val="008C0C36"/>
    <w:rsid w:val="008C26E0"/>
    <w:rsid w:val="008C371B"/>
    <w:rsid w:val="008D343D"/>
    <w:rsid w:val="008D73FB"/>
    <w:rsid w:val="008E06A3"/>
    <w:rsid w:val="008E130D"/>
    <w:rsid w:val="008E53F5"/>
    <w:rsid w:val="008E6B64"/>
    <w:rsid w:val="008F5C5E"/>
    <w:rsid w:val="00902162"/>
    <w:rsid w:val="009066C7"/>
    <w:rsid w:val="00907C95"/>
    <w:rsid w:val="00922145"/>
    <w:rsid w:val="009268B8"/>
    <w:rsid w:val="009328BB"/>
    <w:rsid w:val="0093389F"/>
    <w:rsid w:val="00934C42"/>
    <w:rsid w:val="00935DB6"/>
    <w:rsid w:val="00936D45"/>
    <w:rsid w:val="00937FB2"/>
    <w:rsid w:val="00940E66"/>
    <w:rsid w:val="00943089"/>
    <w:rsid w:val="00955EDF"/>
    <w:rsid w:val="0095640B"/>
    <w:rsid w:val="0095733F"/>
    <w:rsid w:val="00960BFF"/>
    <w:rsid w:val="009631AC"/>
    <w:rsid w:val="00963BF4"/>
    <w:rsid w:val="009725A0"/>
    <w:rsid w:val="0098099C"/>
    <w:rsid w:val="0098286D"/>
    <w:rsid w:val="009834AD"/>
    <w:rsid w:val="009835BF"/>
    <w:rsid w:val="00991246"/>
    <w:rsid w:val="00992BE9"/>
    <w:rsid w:val="00993D7A"/>
    <w:rsid w:val="009945EA"/>
    <w:rsid w:val="00996635"/>
    <w:rsid w:val="009966C8"/>
    <w:rsid w:val="009A2D58"/>
    <w:rsid w:val="009A5189"/>
    <w:rsid w:val="009B2B04"/>
    <w:rsid w:val="009B53B4"/>
    <w:rsid w:val="009B5C82"/>
    <w:rsid w:val="009B5E9B"/>
    <w:rsid w:val="009B67C9"/>
    <w:rsid w:val="009B751D"/>
    <w:rsid w:val="009C0945"/>
    <w:rsid w:val="009C0A71"/>
    <w:rsid w:val="009C2262"/>
    <w:rsid w:val="009D06EC"/>
    <w:rsid w:val="009D59FC"/>
    <w:rsid w:val="009D6E00"/>
    <w:rsid w:val="009D7E33"/>
    <w:rsid w:val="009E1566"/>
    <w:rsid w:val="009E2C26"/>
    <w:rsid w:val="009E60BD"/>
    <w:rsid w:val="009E7894"/>
    <w:rsid w:val="009F0886"/>
    <w:rsid w:val="009F13E0"/>
    <w:rsid w:val="009F25A0"/>
    <w:rsid w:val="009F2E92"/>
    <w:rsid w:val="009F71A9"/>
    <w:rsid w:val="00A001E0"/>
    <w:rsid w:val="00A12163"/>
    <w:rsid w:val="00A163EA"/>
    <w:rsid w:val="00A17758"/>
    <w:rsid w:val="00A24129"/>
    <w:rsid w:val="00A25F82"/>
    <w:rsid w:val="00A27B43"/>
    <w:rsid w:val="00A318EA"/>
    <w:rsid w:val="00A321E0"/>
    <w:rsid w:val="00A33A3E"/>
    <w:rsid w:val="00A355AD"/>
    <w:rsid w:val="00A37953"/>
    <w:rsid w:val="00A420DB"/>
    <w:rsid w:val="00A4459B"/>
    <w:rsid w:val="00A55752"/>
    <w:rsid w:val="00A6552D"/>
    <w:rsid w:val="00A66F74"/>
    <w:rsid w:val="00A706D7"/>
    <w:rsid w:val="00A725E8"/>
    <w:rsid w:val="00A72666"/>
    <w:rsid w:val="00A73D08"/>
    <w:rsid w:val="00A762B7"/>
    <w:rsid w:val="00A7744C"/>
    <w:rsid w:val="00A8554A"/>
    <w:rsid w:val="00A857A3"/>
    <w:rsid w:val="00A910AA"/>
    <w:rsid w:val="00A913CB"/>
    <w:rsid w:val="00A96665"/>
    <w:rsid w:val="00A96A6E"/>
    <w:rsid w:val="00A976D2"/>
    <w:rsid w:val="00AA0994"/>
    <w:rsid w:val="00AA2293"/>
    <w:rsid w:val="00AA2314"/>
    <w:rsid w:val="00AA3234"/>
    <w:rsid w:val="00AA73A0"/>
    <w:rsid w:val="00AA77CE"/>
    <w:rsid w:val="00AB0D9C"/>
    <w:rsid w:val="00AB0DEA"/>
    <w:rsid w:val="00AB2CF4"/>
    <w:rsid w:val="00AB37DB"/>
    <w:rsid w:val="00AB4A36"/>
    <w:rsid w:val="00AB4F12"/>
    <w:rsid w:val="00AB5C35"/>
    <w:rsid w:val="00AC7B3C"/>
    <w:rsid w:val="00AD1BAB"/>
    <w:rsid w:val="00AD4E24"/>
    <w:rsid w:val="00AE0BEA"/>
    <w:rsid w:val="00AE5352"/>
    <w:rsid w:val="00AE5EB6"/>
    <w:rsid w:val="00AF1696"/>
    <w:rsid w:val="00AF44C0"/>
    <w:rsid w:val="00AF6E27"/>
    <w:rsid w:val="00AF6F55"/>
    <w:rsid w:val="00AF72C4"/>
    <w:rsid w:val="00B0094B"/>
    <w:rsid w:val="00B0185C"/>
    <w:rsid w:val="00B02E53"/>
    <w:rsid w:val="00B03CE7"/>
    <w:rsid w:val="00B052DD"/>
    <w:rsid w:val="00B077F6"/>
    <w:rsid w:val="00B12DFF"/>
    <w:rsid w:val="00B1451E"/>
    <w:rsid w:val="00B152DD"/>
    <w:rsid w:val="00B15456"/>
    <w:rsid w:val="00B1571D"/>
    <w:rsid w:val="00B364DC"/>
    <w:rsid w:val="00B41191"/>
    <w:rsid w:val="00B424AE"/>
    <w:rsid w:val="00B435C8"/>
    <w:rsid w:val="00B436A0"/>
    <w:rsid w:val="00B4763C"/>
    <w:rsid w:val="00B4784A"/>
    <w:rsid w:val="00B5013E"/>
    <w:rsid w:val="00B5083F"/>
    <w:rsid w:val="00B51320"/>
    <w:rsid w:val="00B52D1A"/>
    <w:rsid w:val="00B53911"/>
    <w:rsid w:val="00B57A58"/>
    <w:rsid w:val="00B601E8"/>
    <w:rsid w:val="00B60543"/>
    <w:rsid w:val="00B627F6"/>
    <w:rsid w:val="00B62827"/>
    <w:rsid w:val="00B66933"/>
    <w:rsid w:val="00B73B6B"/>
    <w:rsid w:val="00B74451"/>
    <w:rsid w:val="00B80798"/>
    <w:rsid w:val="00B85F84"/>
    <w:rsid w:val="00B904B4"/>
    <w:rsid w:val="00B9494D"/>
    <w:rsid w:val="00B962E4"/>
    <w:rsid w:val="00BA47D5"/>
    <w:rsid w:val="00BA55B3"/>
    <w:rsid w:val="00BB1A29"/>
    <w:rsid w:val="00BB3223"/>
    <w:rsid w:val="00BB4968"/>
    <w:rsid w:val="00BB6027"/>
    <w:rsid w:val="00BB6DEA"/>
    <w:rsid w:val="00BC33F6"/>
    <w:rsid w:val="00BC6C3A"/>
    <w:rsid w:val="00BD2004"/>
    <w:rsid w:val="00BD422B"/>
    <w:rsid w:val="00BD46DD"/>
    <w:rsid w:val="00BE44DB"/>
    <w:rsid w:val="00BE4EB9"/>
    <w:rsid w:val="00BE6D69"/>
    <w:rsid w:val="00BF0C02"/>
    <w:rsid w:val="00BF1263"/>
    <w:rsid w:val="00BF63C1"/>
    <w:rsid w:val="00C01A69"/>
    <w:rsid w:val="00C0398D"/>
    <w:rsid w:val="00C06A71"/>
    <w:rsid w:val="00C11DC5"/>
    <w:rsid w:val="00C125D5"/>
    <w:rsid w:val="00C1638C"/>
    <w:rsid w:val="00C23533"/>
    <w:rsid w:val="00C248E5"/>
    <w:rsid w:val="00C249AB"/>
    <w:rsid w:val="00C27112"/>
    <w:rsid w:val="00C316C3"/>
    <w:rsid w:val="00C36721"/>
    <w:rsid w:val="00C375F9"/>
    <w:rsid w:val="00C41E84"/>
    <w:rsid w:val="00C427B8"/>
    <w:rsid w:val="00C45E31"/>
    <w:rsid w:val="00C46FCE"/>
    <w:rsid w:val="00C47991"/>
    <w:rsid w:val="00C57134"/>
    <w:rsid w:val="00C614E8"/>
    <w:rsid w:val="00C6691D"/>
    <w:rsid w:val="00C67D8C"/>
    <w:rsid w:val="00C70F9E"/>
    <w:rsid w:val="00C73CD8"/>
    <w:rsid w:val="00C74433"/>
    <w:rsid w:val="00C76E98"/>
    <w:rsid w:val="00C80F55"/>
    <w:rsid w:val="00C82346"/>
    <w:rsid w:val="00C858D0"/>
    <w:rsid w:val="00C940DF"/>
    <w:rsid w:val="00C95057"/>
    <w:rsid w:val="00C95556"/>
    <w:rsid w:val="00CA01A2"/>
    <w:rsid w:val="00CA0354"/>
    <w:rsid w:val="00CA0E2F"/>
    <w:rsid w:val="00CA42B3"/>
    <w:rsid w:val="00CA58DF"/>
    <w:rsid w:val="00CA7D92"/>
    <w:rsid w:val="00CB07D3"/>
    <w:rsid w:val="00CB0A8E"/>
    <w:rsid w:val="00CB1EC5"/>
    <w:rsid w:val="00CB24AC"/>
    <w:rsid w:val="00CB2C1E"/>
    <w:rsid w:val="00CB2DF9"/>
    <w:rsid w:val="00CB63CD"/>
    <w:rsid w:val="00CB7E52"/>
    <w:rsid w:val="00CC21DC"/>
    <w:rsid w:val="00CC3D72"/>
    <w:rsid w:val="00CC3FAA"/>
    <w:rsid w:val="00CC4C24"/>
    <w:rsid w:val="00CC4EB4"/>
    <w:rsid w:val="00CC7A6F"/>
    <w:rsid w:val="00CD0446"/>
    <w:rsid w:val="00CD6D94"/>
    <w:rsid w:val="00CE1019"/>
    <w:rsid w:val="00CE15C2"/>
    <w:rsid w:val="00CE2216"/>
    <w:rsid w:val="00CE380C"/>
    <w:rsid w:val="00CE452F"/>
    <w:rsid w:val="00CE722F"/>
    <w:rsid w:val="00CF0E5F"/>
    <w:rsid w:val="00CF0F5A"/>
    <w:rsid w:val="00CF0FB0"/>
    <w:rsid w:val="00CF105D"/>
    <w:rsid w:val="00CF2144"/>
    <w:rsid w:val="00CF223F"/>
    <w:rsid w:val="00CF274B"/>
    <w:rsid w:val="00CF66D3"/>
    <w:rsid w:val="00CF7CD8"/>
    <w:rsid w:val="00D00D77"/>
    <w:rsid w:val="00D034FC"/>
    <w:rsid w:val="00D05891"/>
    <w:rsid w:val="00D07F8A"/>
    <w:rsid w:val="00D174D7"/>
    <w:rsid w:val="00D17FDC"/>
    <w:rsid w:val="00D2162F"/>
    <w:rsid w:val="00D21BDD"/>
    <w:rsid w:val="00D222F5"/>
    <w:rsid w:val="00D22D4E"/>
    <w:rsid w:val="00D3288F"/>
    <w:rsid w:val="00D33393"/>
    <w:rsid w:val="00D405F3"/>
    <w:rsid w:val="00D43989"/>
    <w:rsid w:val="00D46871"/>
    <w:rsid w:val="00D51ED7"/>
    <w:rsid w:val="00D52BB3"/>
    <w:rsid w:val="00D542E5"/>
    <w:rsid w:val="00D543E8"/>
    <w:rsid w:val="00D544BC"/>
    <w:rsid w:val="00D545F0"/>
    <w:rsid w:val="00D54DD8"/>
    <w:rsid w:val="00D56C4E"/>
    <w:rsid w:val="00D74043"/>
    <w:rsid w:val="00D87C50"/>
    <w:rsid w:val="00D907B3"/>
    <w:rsid w:val="00D90BDE"/>
    <w:rsid w:val="00D90F52"/>
    <w:rsid w:val="00D95F96"/>
    <w:rsid w:val="00D97650"/>
    <w:rsid w:val="00DA32F0"/>
    <w:rsid w:val="00DA3FDA"/>
    <w:rsid w:val="00DA7303"/>
    <w:rsid w:val="00DB30D5"/>
    <w:rsid w:val="00DB3FED"/>
    <w:rsid w:val="00DB4B4F"/>
    <w:rsid w:val="00DB4F1C"/>
    <w:rsid w:val="00DC0008"/>
    <w:rsid w:val="00DC05BA"/>
    <w:rsid w:val="00DC0B35"/>
    <w:rsid w:val="00DC0B60"/>
    <w:rsid w:val="00DC1853"/>
    <w:rsid w:val="00DC5690"/>
    <w:rsid w:val="00DC665B"/>
    <w:rsid w:val="00DC6D10"/>
    <w:rsid w:val="00DD3328"/>
    <w:rsid w:val="00DD37BD"/>
    <w:rsid w:val="00DD774D"/>
    <w:rsid w:val="00DE4DBC"/>
    <w:rsid w:val="00DF0A4E"/>
    <w:rsid w:val="00DF1C23"/>
    <w:rsid w:val="00DF24AD"/>
    <w:rsid w:val="00DF677E"/>
    <w:rsid w:val="00DF7151"/>
    <w:rsid w:val="00DF71A0"/>
    <w:rsid w:val="00E06EFE"/>
    <w:rsid w:val="00E07F3A"/>
    <w:rsid w:val="00E106C1"/>
    <w:rsid w:val="00E10B20"/>
    <w:rsid w:val="00E111C2"/>
    <w:rsid w:val="00E151F6"/>
    <w:rsid w:val="00E15BA2"/>
    <w:rsid w:val="00E16A4E"/>
    <w:rsid w:val="00E17AA4"/>
    <w:rsid w:val="00E17F11"/>
    <w:rsid w:val="00E20524"/>
    <w:rsid w:val="00E20891"/>
    <w:rsid w:val="00E2306E"/>
    <w:rsid w:val="00E233D0"/>
    <w:rsid w:val="00E2341C"/>
    <w:rsid w:val="00E24DDF"/>
    <w:rsid w:val="00E2596D"/>
    <w:rsid w:val="00E2635A"/>
    <w:rsid w:val="00E27363"/>
    <w:rsid w:val="00E306DF"/>
    <w:rsid w:val="00E336EE"/>
    <w:rsid w:val="00E34C3E"/>
    <w:rsid w:val="00E371C1"/>
    <w:rsid w:val="00E40B07"/>
    <w:rsid w:val="00E42689"/>
    <w:rsid w:val="00E43561"/>
    <w:rsid w:val="00E435E3"/>
    <w:rsid w:val="00E47977"/>
    <w:rsid w:val="00E507A3"/>
    <w:rsid w:val="00E51DDF"/>
    <w:rsid w:val="00E62A0C"/>
    <w:rsid w:val="00E6581D"/>
    <w:rsid w:val="00E67A5B"/>
    <w:rsid w:val="00E723A4"/>
    <w:rsid w:val="00E903F7"/>
    <w:rsid w:val="00E91CBE"/>
    <w:rsid w:val="00E923AF"/>
    <w:rsid w:val="00E93D46"/>
    <w:rsid w:val="00E948CC"/>
    <w:rsid w:val="00E95ED8"/>
    <w:rsid w:val="00E96989"/>
    <w:rsid w:val="00EA43C9"/>
    <w:rsid w:val="00EA62BA"/>
    <w:rsid w:val="00EA684D"/>
    <w:rsid w:val="00EA69FC"/>
    <w:rsid w:val="00EA6DC2"/>
    <w:rsid w:val="00EB301F"/>
    <w:rsid w:val="00EB6F83"/>
    <w:rsid w:val="00EB73A6"/>
    <w:rsid w:val="00EB7E70"/>
    <w:rsid w:val="00EB7FDD"/>
    <w:rsid w:val="00EC1AA2"/>
    <w:rsid w:val="00EC622D"/>
    <w:rsid w:val="00EC7668"/>
    <w:rsid w:val="00ED299A"/>
    <w:rsid w:val="00ED3AF2"/>
    <w:rsid w:val="00ED7D9A"/>
    <w:rsid w:val="00EE05E1"/>
    <w:rsid w:val="00EE0D76"/>
    <w:rsid w:val="00EE0F72"/>
    <w:rsid w:val="00EE3444"/>
    <w:rsid w:val="00EF0014"/>
    <w:rsid w:val="00EF4877"/>
    <w:rsid w:val="00EF56ED"/>
    <w:rsid w:val="00EF79CE"/>
    <w:rsid w:val="00EF7DFE"/>
    <w:rsid w:val="00F0194B"/>
    <w:rsid w:val="00F01D45"/>
    <w:rsid w:val="00F03D9D"/>
    <w:rsid w:val="00F04CD8"/>
    <w:rsid w:val="00F061B5"/>
    <w:rsid w:val="00F10601"/>
    <w:rsid w:val="00F12783"/>
    <w:rsid w:val="00F14235"/>
    <w:rsid w:val="00F15FC5"/>
    <w:rsid w:val="00F2662A"/>
    <w:rsid w:val="00F26FBE"/>
    <w:rsid w:val="00F2754D"/>
    <w:rsid w:val="00F344EE"/>
    <w:rsid w:val="00F363BB"/>
    <w:rsid w:val="00F37E98"/>
    <w:rsid w:val="00F42925"/>
    <w:rsid w:val="00F4446F"/>
    <w:rsid w:val="00F46367"/>
    <w:rsid w:val="00F46BAE"/>
    <w:rsid w:val="00F4795D"/>
    <w:rsid w:val="00F5363A"/>
    <w:rsid w:val="00F53A82"/>
    <w:rsid w:val="00F549A2"/>
    <w:rsid w:val="00F54DE9"/>
    <w:rsid w:val="00F55439"/>
    <w:rsid w:val="00F56BBD"/>
    <w:rsid w:val="00F56D0A"/>
    <w:rsid w:val="00F60F41"/>
    <w:rsid w:val="00F64803"/>
    <w:rsid w:val="00F64B50"/>
    <w:rsid w:val="00F763C2"/>
    <w:rsid w:val="00F7711D"/>
    <w:rsid w:val="00F8041D"/>
    <w:rsid w:val="00F812C5"/>
    <w:rsid w:val="00F85D00"/>
    <w:rsid w:val="00F86C34"/>
    <w:rsid w:val="00F878AA"/>
    <w:rsid w:val="00F90E45"/>
    <w:rsid w:val="00F9633F"/>
    <w:rsid w:val="00F9734A"/>
    <w:rsid w:val="00FA6D1D"/>
    <w:rsid w:val="00FA6FB7"/>
    <w:rsid w:val="00FA72FF"/>
    <w:rsid w:val="00FB11D0"/>
    <w:rsid w:val="00FB1729"/>
    <w:rsid w:val="00FB3639"/>
    <w:rsid w:val="00FB5910"/>
    <w:rsid w:val="00FB60B8"/>
    <w:rsid w:val="00FB716E"/>
    <w:rsid w:val="00FC5156"/>
    <w:rsid w:val="00FC5266"/>
    <w:rsid w:val="00FC7F4B"/>
    <w:rsid w:val="00FD0F44"/>
    <w:rsid w:val="00FD6F4F"/>
    <w:rsid w:val="00FE01C3"/>
    <w:rsid w:val="00FE1308"/>
    <w:rsid w:val="00FE1886"/>
    <w:rsid w:val="00FE283C"/>
    <w:rsid w:val="00FE2C54"/>
    <w:rsid w:val="00FE3838"/>
    <w:rsid w:val="00FE4089"/>
    <w:rsid w:val="00FF0738"/>
    <w:rsid w:val="00FF2879"/>
    <w:rsid w:val="00FF317E"/>
    <w:rsid w:val="00FF4E23"/>
    <w:rsid w:val="00FF5CB0"/>
    <w:rsid w:val="00FF67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B4049"/>
  <w15:docId w15:val="{D741F23D-CAE7-42B1-AFBD-E23421B7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319"/>
    <w:pPr>
      <w:spacing w:after="200" w:line="276" w:lineRule="auto"/>
    </w:pPr>
  </w:style>
  <w:style w:type="paragraph" w:styleId="Heading3">
    <w:name w:val="heading 3"/>
    <w:basedOn w:val="Normal"/>
    <w:link w:val="Heading3Char"/>
    <w:uiPriority w:val="9"/>
    <w:qFormat/>
    <w:rsid w:val="00C95057"/>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4F2319"/>
    <w:rPr>
      <w:smallCaps/>
      <w:color w:val="C0504D"/>
      <w:u w:val="single"/>
    </w:rPr>
  </w:style>
  <w:style w:type="character" w:styleId="Hyperlink">
    <w:name w:val="Hyperlink"/>
    <w:uiPriority w:val="99"/>
    <w:rsid w:val="00295D7E"/>
    <w:rPr>
      <w:color w:val="0000FF"/>
      <w:u w:val="single"/>
    </w:rPr>
  </w:style>
  <w:style w:type="paragraph" w:styleId="ListParagraph">
    <w:name w:val="List Paragraph"/>
    <w:basedOn w:val="Normal"/>
    <w:uiPriority w:val="34"/>
    <w:qFormat/>
    <w:rsid w:val="00295D7E"/>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022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77E"/>
  </w:style>
  <w:style w:type="paragraph" w:styleId="Footer">
    <w:name w:val="footer"/>
    <w:basedOn w:val="Normal"/>
    <w:link w:val="FooterChar"/>
    <w:uiPriority w:val="99"/>
    <w:unhideWhenUsed/>
    <w:rsid w:val="00022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77E"/>
  </w:style>
  <w:style w:type="paragraph" w:styleId="BalloonText">
    <w:name w:val="Balloon Text"/>
    <w:basedOn w:val="Normal"/>
    <w:link w:val="BalloonTextChar"/>
    <w:uiPriority w:val="99"/>
    <w:semiHidden/>
    <w:unhideWhenUsed/>
    <w:rsid w:val="00465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8FC"/>
    <w:rPr>
      <w:rFonts w:ascii="Tahoma" w:hAnsi="Tahoma" w:cs="Tahoma"/>
      <w:sz w:val="16"/>
      <w:szCs w:val="16"/>
    </w:rPr>
  </w:style>
  <w:style w:type="character" w:styleId="CommentReference">
    <w:name w:val="annotation reference"/>
    <w:basedOn w:val="DefaultParagraphFont"/>
    <w:uiPriority w:val="99"/>
    <w:semiHidden/>
    <w:unhideWhenUsed/>
    <w:rsid w:val="00F061B5"/>
    <w:rPr>
      <w:sz w:val="16"/>
      <w:szCs w:val="16"/>
    </w:rPr>
  </w:style>
  <w:style w:type="paragraph" w:styleId="CommentText">
    <w:name w:val="annotation text"/>
    <w:basedOn w:val="Normal"/>
    <w:link w:val="CommentTextChar"/>
    <w:uiPriority w:val="99"/>
    <w:unhideWhenUsed/>
    <w:rsid w:val="00F061B5"/>
    <w:pPr>
      <w:spacing w:line="240" w:lineRule="auto"/>
    </w:pPr>
    <w:rPr>
      <w:sz w:val="20"/>
      <w:szCs w:val="20"/>
    </w:rPr>
  </w:style>
  <w:style w:type="character" w:customStyle="1" w:styleId="CommentTextChar">
    <w:name w:val="Comment Text Char"/>
    <w:basedOn w:val="DefaultParagraphFont"/>
    <w:link w:val="CommentText"/>
    <w:uiPriority w:val="99"/>
    <w:rsid w:val="00F061B5"/>
    <w:rPr>
      <w:sz w:val="20"/>
      <w:szCs w:val="20"/>
    </w:rPr>
  </w:style>
  <w:style w:type="paragraph" w:styleId="CommentSubject">
    <w:name w:val="annotation subject"/>
    <w:basedOn w:val="CommentText"/>
    <w:next w:val="CommentText"/>
    <w:link w:val="CommentSubjectChar"/>
    <w:uiPriority w:val="99"/>
    <w:semiHidden/>
    <w:unhideWhenUsed/>
    <w:rsid w:val="00F061B5"/>
    <w:rPr>
      <w:b/>
      <w:bCs/>
    </w:rPr>
  </w:style>
  <w:style w:type="character" w:customStyle="1" w:styleId="CommentSubjectChar">
    <w:name w:val="Comment Subject Char"/>
    <w:basedOn w:val="CommentTextChar"/>
    <w:link w:val="CommentSubject"/>
    <w:uiPriority w:val="99"/>
    <w:semiHidden/>
    <w:rsid w:val="00F061B5"/>
    <w:rPr>
      <w:b/>
      <w:bCs/>
      <w:sz w:val="20"/>
      <w:szCs w:val="20"/>
    </w:rPr>
  </w:style>
  <w:style w:type="paragraph" w:styleId="Revision">
    <w:name w:val="Revision"/>
    <w:hidden/>
    <w:uiPriority w:val="99"/>
    <w:semiHidden/>
    <w:rsid w:val="00F061B5"/>
    <w:pPr>
      <w:spacing w:after="0" w:line="240" w:lineRule="auto"/>
    </w:pPr>
  </w:style>
  <w:style w:type="paragraph" w:styleId="NoSpacing">
    <w:name w:val="No Spacing"/>
    <w:uiPriority w:val="1"/>
    <w:qFormat/>
    <w:rsid w:val="009066C7"/>
    <w:pPr>
      <w:spacing w:after="0" w:line="240" w:lineRule="auto"/>
    </w:pPr>
  </w:style>
  <w:style w:type="paragraph" w:styleId="FootnoteText">
    <w:name w:val="footnote text"/>
    <w:basedOn w:val="Normal"/>
    <w:link w:val="FootnoteTextChar"/>
    <w:uiPriority w:val="99"/>
    <w:semiHidden/>
    <w:unhideWhenUsed/>
    <w:rsid w:val="006428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2811"/>
    <w:rPr>
      <w:sz w:val="20"/>
      <w:szCs w:val="20"/>
    </w:rPr>
  </w:style>
  <w:style w:type="character" w:styleId="FootnoteReference">
    <w:name w:val="footnote reference"/>
    <w:basedOn w:val="DefaultParagraphFont"/>
    <w:uiPriority w:val="99"/>
    <w:semiHidden/>
    <w:unhideWhenUsed/>
    <w:rsid w:val="00642811"/>
    <w:rPr>
      <w:vertAlign w:val="superscript"/>
    </w:rPr>
  </w:style>
  <w:style w:type="character" w:styleId="FollowedHyperlink">
    <w:name w:val="FollowedHyperlink"/>
    <w:basedOn w:val="DefaultParagraphFont"/>
    <w:uiPriority w:val="99"/>
    <w:semiHidden/>
    <w:unhideWhenUsed/>
    <w:rsid w:val="005E5E35"/>
    <w:rPr>
      <w:color w:val="954F72" w:themeColor="followedHyperlink"/>
      <w:u w:val="single"/>
    </w:rPr>
  </w:style>
  <w:style w:type="paragraph" w:customStyle="1" w:styleId="Default">
    <w:name w:val="Default"/>
    <w:rsid w:val="00FC5266"/>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8">
    <w:name w:val="Pa8"/>
    <w:basedOn w:val="Default"/>
    <w:next w:val="Default"/>
    <w:uiPriority w:val="99"/>
    <w:rsid w:val="00FC5266"/>
    <w:pPr>
      <w:spacing w:line="241" w:lineRule="atLeast"/>
    </w:pPr>
    <w:rPr>
      <w:rFonts w:cstheme="minorBidi"/>
      <w:color w:val="auto"/>
    </w:rPr>
  </w:style>
  <w:style w:type="character" w:customStyle="1" w:styleId="A12">
    <w:name w:val="A12"/>
    <w:uiPriority w:val="99"/>
    <w:rsid w:val="00FC5266"/>
    <w:rPr>
      <w:rFonts w:cs="HelveticaNeueLT Std"/>
      <w:b/>
      <w:bCs/>
      <w:color w:val="6EBF49"/>
      <w:sz w:val="18"/>
      <w:szCs w:val="18"/>
    </w:rPr>
  </w:style>
  <w:style w:type="character" w:customStyle="1" w:styleId="A2">
    <w:name w:val="A2"/>
    <w:uiPriority w:val="99"/>
    <w:rsid w:val="00FC5266"/>
    <w:rPr>
      <w:rFonts w:cs="HelveticaNeueLT Std"/>
      <w:color w:val="57585A"/>
      <w:sz w:val="16"/>
      <w:szCs w:val="16"/>
    </w:rPr>
  </w:style>
  <w:style w:type="character" w:styleId="UnresolvedMention">
    <w:name w:val="Unresolved Mention"/>
    <w:basedOn w:val="DefaultParagraphFont"/>
    <w:uiPriority w:val="99"/>
    <w:semiHidden/>
    <w:unhideWhenUsed/>
    <w:rsid w:val="00AF44C0"/>
    <w:rPr>
      <w:color w:val="605E5C"/>
      <w:shd w:val="clear" w:color="auto" w:fill="E1DFDD"/>
    </w:rPr>
  </w:style>
  <w:style w:type="character" w:styleId="Emphasis">
    <w:name w:val="Emphasis"/>
    <w:basedOn w:val="DefaultParagraphFont"/>
    <w:uiPriority w:val="20"/>
    <w:qFormat/>
    <w:rsid w:val="00E6581D"/>
    <w:rPr>
      <w:i/>
      <w:iCs/>
    </w:rPr>
  </w:style>
  <w:style w:type="character" w:customStyle="1" w:styleId="Heading3Char">
    <w:name w:val="Heading 3 Char"/>
    <w:basedOn w:val="DefaultParagraphFont"/>
    <w:link w:val="Heading3"/>
    <w:uiPriority w:val="9"/>
    <w:rsid w:val="00C95057"/>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FC7F4B"/>
    <w:rPr>
      <w:rFonts w:ascii="Times New Roman" w:hAnsi="Times New Roman" w:cs="Times New Roman"/>
      <w:sz w:val="24"/>
      <w:szCs w:val="24"/>
    </w:rPr>
  </w:style>
  <w:style w:type="character" w:styleId="Strong">
    <w:name w:val="Strong"/>
    <w:basedOn w:val="DefaultParagraphFont"/>
    <w:uiPriority w:val="22"/>
    <w:qFormat/>
    <w:rsid w:val="00342FCE"/>
    <w:rPr>
      <w:b/>
      <w:bCs/>
    </w:rPr>
  </w:style>
  <w:style w:type="character" w:customStyle="1" w:styleId="apple-converted-space">
    <w:name w:val="apple-converted-space"/>
    <w:basedOn w:val="DefaultParagraphFont"/>
    <w:rsid w:val="00342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029">
      <w:bodyDiv w:val="1"/>
      <w:marLeft w:val="0"/>
      <w:marRight w:val="0"/>
      <w:marTop w:val="0"/>
      <w:marBottom w:val="0"/>
      <w:divBdr>
        <w:top w:val="none" w:sz="0" w:space="0" w:color="auto"/>
        <w:left w:val="none" w:sz="0" w:space="0" w:color="auto"/>
        <w:bottom w:val="none" w:sz="0" w:space="0" w:color="auto"/>
        <w:right w:val="none" w:sz="0" w:space="0" w:color="auto"/>
      </w:divBdr>
    </w:div>
    <w:div w:id="172191846">
      <w:bodyDiv w:val="1"/>
      <w:marLeft w:val="0"/>
      <w:marRight w:val="0"/>
      <w:marTop w:val="0"/>
      <w:marBottom w:val="0"/>
      <w:divBdr>
        <w:top w:val="none" w:sz="0" w:space="0" w:color="auto"/>
        <w:left w:val="none" w:sz="0" w:space="0" w:color="auto"/>
        <w:bottom w:val="none" w:sz="0" w:space="0" w:color="auto"/>
        <w:right w:val="none" w:sz="0" w:space="0" w:color="auto"/>
      </w:divBdr>
    </w:div>
    <w:div w:id="374476375">
      <w:bodyDiv w:val="1"/>
      <w:marLeft w:val="0"/>
      <w:marRight w:val="0"/>
      <w:marTop w:val="0"/>
      <w:marBottom w:val="0"/>
      <w:divBdr>
        <w:top w:val="none" w:sz="0" w:space="0" w:color="auto"/>
        <w:left w:val="none" w:sz="0" w:space="0" w:color="auto"/>
        <w:bottom w:val="none" w:sz="0" w:space="0" w:color="auto"/>
        <w:right w:val="none" w:sz="0" w:space="0" w:color="auto"/>
      </w:divBdr>
    </w:div>
    <w:div w:id="630549562">
      <w:bodyDiv w:val="1"/>
      <w:marLeft w:val="0"/>
      <w:marRight w:val="0"/>
      <w:marTop w:val="0"/>
      <w:marBottom w:val="0"/>
      <w:divBdr>
        <w:top w:val="none" w:sz="0" w:space="0" w:color="auto"/>
        <w:left w:val="none" w:sz="0" w:space="0" w:color="auto"/>
        <w:bottom w:val="none" w:sz="0" w:space="0" w:color="auto"/>
        <w:right w:val="none" w:sz="0" w:space="0" w:color="auto"/>
      </w:divBdr>
    </w:div>
    <w:div w:id="1078672367">
      <w:bodyDiv w:val="1"/>
      <w:marLeft w:val="0"/>
      <w:marRight w:val="0"/>
      <w:marTop w:val="0"/>
      <w:marBottom w:val="0"/>
      <w:divBdr>
        <w:top w:val="none" w:sz="0" w:space="0" w:color="auto"/>
        <w:left w:val="none" w:sz="0" w:space="0" w:color="auto"/>
        <w:bottom w:val="none" w:sz="0" w:space="0" w:color="auto"/>
        <w:right w:val="none" w:sz="0" w:space="0" w:color="auto"/>
      </w:divBdr>
    </w:div>
    <w:div w:id="1367949929">
      <w:bodyDiv w:val="1"/>
      <w:marLeft w:val="0"/>
      <w:marRight w:val="0"/>
      <w:marTop w:val="0"/>
      <w:marBottom w:val="0"/>
      <w:divBdr>
        <w:top w:val="none" w:sz="0" w:space="0" w:color="auto"/>
        <w:left w:val="none" w:sz="0" w:space="0" w:color="auto"/>
        <w:bottom w:val="none" w:sz="0" w:space="0" w:color="auto"/>
        <w:right w:val="none" w:sz="0" w:space="0" w:color="auto"/>
      </w:divBdr>
    </w:div>
    <w:div w:id="1384215167">
      <w:bodyDiv w:val="1"/>
      <w:marLeft w:val="0"/>
      <w:marRight w:val="0"/>
      <w:marTop w:val="0"/>
      <w:marBottom w:val="0"/>
      <w:divBdr>
        <w:top w:val="none" w:sz="0" w:space="0" w:color="auto"/>
        <w:left w:val="none" w:sz="0" w:space="0" w:color="auto"/>
        <w:bottom w:val="none" w:sz="0" w:space="0" w:color="auto"/>
        <w:right w:val="none" w:sz="0" w:space="0" w:color="auto"/>
      </w:divBdr>
    </w:div>
    <w:div w:id="1411273576">
      <w:bodyDiv w:val="1"/>
      <w:marLeft w:val="0"/>
      <w:marRight w:val="0"/>
      <w:marTop w:val="0"/>
      <w:marBottom w:val="0"/>
      <w:divBdr>
        <w:top w:val="none" w:sz="0" w:space="0" w:color="auto"/>
        <w:left w:val="none" w:sz="0" w:space="0" w:color="auto"/>
        <w:bottom w:val="none" w:sz="0" w:space="0" w:color="auto"/>
        <w:right w:val="none" w:sz="0" w:space="0" w:color="auto"/>
      </w:divBdr>
    </w:div>
    <w:div w:id="153468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caforu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avka@gpca.org.ae" TargetMode="External"/><Relationship Id="rId5" Type="http://schemas.openxmlformats.org/officeDocument/2006/relationships/webSettings" Target="webSettings.xml"/><Relationship Id="rId10" Type="http://schemas.openxmlformats.org/officeDocument/2006/relationships/hyperlink" Target="mailto:dima@gpca.org.ae" TargetMode="External"/><Relationship Id="rId4" Type="http://schemas.openxmlformats.org/officeDocument/2006/relationships/settings" Target="settings.xml"/><Relationship Id="rId9" Type="http://schemas.openxmlformats.org/officeDocument/2006/relationships/hyperlink" Target="http://www.gpca.org.a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3FF03-E2A5-425C-8FA9-5482A5C3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Slavka Atanasova</dc:creator>
  <cp:lastModifiedBy>Communication Specialist</cp:lastModifiedBy>
  <cp:revision>5</cp:revision>
  <dcterms:created xsi:type="dcterms:W3CDTF">2025-12-15T13:28:00Z</dcterms:created>
  <dcterms:modified xsi:type="dcterms:W3CDTF">2025-12-16T07:56:00Z</dcterms:modified>
</cp:coreProperties>
</file>